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sz w:val="21"/>
          <w:szCs w:val="21"/>
        </w:rPr>
      </w:pPr>
      <w:r>
        <w:rPr>
          <w:rFonts w:hint="eastAsia" w:cs="仿宋" w:asciiTheme="minorEastAsia" w:hAnsiTheme="minorEastAsia" w:eastAsiaTheme="minorEastAsia"/>
          <w:b/>
          <w:sz w:val="72"/>
        </w:rPr>
        <w:tab/>
      </w:r>
      <w:r/>
    </w:p>
    <w:p>
      <w:pPr>
        <w:jc w:val="center"/>
        <w:rPr>
          <w:rFonts w:hint="eastAsia" w:cs="仿宋" w:asciiTheme="minorEastAsia" w:hAnsiTheme="minorEastAsia" w:eastAsiaTheme="minorEastAsia"/>
          <w:b/>
          <w:sz w:val="72"/>
        </w:rPr>
      </w:pPr>
      <w:r>
        <w:rPr>
          <w:rFonts w:hint="eastAsia" w:cs="仿宋" w:asciiTheme="minorEastAsia" w:hAnsiTheme="minorEastAsia" w:eastAsiaTheme="minorEastAsia"/>
          <w:b/>
          <w:sz w:val="72"/>
        </w:rPr>
      </w:r>
      <w:r/>
    </w:p>
    <w:p>
      <w:pPr>
        <w:jc w:val="center"/>
        <w:spacing w:line="360" w:lineRule="auto"/>
        <w:rPr>
          <w:rFonts w:hint="eastAsia" w:cs="仿宋" w:asciiTheme="minorEastAsia" w:hAnsiTheme="minorEastAsia" w:eastAsiaTheme="minorEastAsia"/>
          <w:bCs/>
          <w:spacing w:val="20"/>
          <w:sz w:val="72"/>
          <w:szCs w:val="72"/>
        </w:rPr>
      </w:pPr>
      <w:r>
        <w:rPr>
          <w:rFonts w:hint="eastAsia" w:cs="仿宋" w:asciiTheme="minorEastAsia" w:hAnsiTheme="minorEastAsia" w:eastAsiaTheme="minorEastAsia"/>
          <w:bCs/>
          <w:spacing w:val="20"/>
          <w:sz w:val="72"/>
          <w:szCs w:val="72"/>
        </w:rPr>
        <w:t xml:space="preserve">泰州市政府采购</w:t>
      </w:r>
      <w:r/>
    </w:p>
    <w:p>
      <w:pPr>
        <w:jc w:val="center"/>
        <w:spacing w:line="360" w:lineRule="auto"/>
        <w:rPr>
          <w:rFonts w:hint="eastAsia" w:cs="仿宋" w:asciiTheme="minorEastAsia" w:hAnsiTheme="minorEastAsia" w:eastAsiaTheme="minorEastAsia"/>
          <w:bCs/>
          <w:spacing w:val="20"/>
          <w:sz w:val="52"/>
          <w:szCs w:val="52"/>
        </w:rPr>
      </w:pPr>
      <w:r>
        <w:rPr>
          <w:rFonts w:hint="eastAsia" w:cs="仿宋" w:asciiTheme="minorEastAsia" w:hAnsiTheme="minorEastAsia" w:eastAsiaTheme="minorEastAsia"/>
          <w:bCs/>
          <w:spacing w:val="20"/>
          <w:sz w:val="52"/>
          <w:szCs w:val="52"/>
        </w:rPr>
        <w:t xml:space="preserve">公开</w:t>
      </w: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5pt" to="-8.9pt,15.5pt" fillcolor="#FFFFFF" strokecolor="#000000"/>
            </w:pict>
          </mc:Fallback>
        </mc:AlternateContent>
      </w:r>
      <w:r>
        <w:rPr>
          <w:rFonts w:hint="eastAsia" w:cs="仿宋" w:asciiTheme="minorEastAsia" w:hAnsiTheme="minorEastAsia" w:eastAsiaTheme="minorEastAsia"/>
          <w:bCs/>
          <w:spacing w:val="20"/>
          <w:sz w:val="52"/>
          <w:szCs w:val="52"/>
        </w:rPr>
        <w:t xml:space="preserve">招标文件</w:t>
      </w:r>
      <w:r/>
    </w:p>
    <w:p>
      <w:pPr>
        <w:jc w:val="center"/>
        <w:rPr>
          <w:rFonts w:hint="eastAsia" w:cs="仿宋" w:asciiTheme="minorEastAsia" w:hAnsiTheme="minorEastAsia" w:eastAsiaTheme="minorEastAsia"/>
          <w:b/>
          <w:sz w:val="72"/>
          <w:szCs w:val="72"/>
        </w:rPr>
      </w:pPr>
      <w:r>
        <w:rPr>
          <w:rFonts w:hint="eastAsia" w:cs="仿宋" w:asciiTheme="minorEastAsia" w:hAnsiTheme="minorEastAsia" w:eastAsiaTheme="minorEastAsia"/>
          <w:bCs/>
          <w:sz w:val="30"/>
        </w:rPr>
        <w:t xml:space="preserve">（全流程电子化不见面开标）</w:t>
      </w:r>
      <w:r/>
    </w:p>
    <w:p>
      <w:pPr>
        <w:rPr>
          <w:rFonts w:hint="eastAsia" w:cs="仿宋" w:asciiTheme="minorEastAsia" w:hAnsiTheme="minorEastAsia" w:eastAsiaTheme="minorEastAsia"/>
          <w:b/>
          <w:sz w:val="72"/>
        </w:rPr>
      </w:pPr>
      <w:r>
        <w:rPr>
          <w:rFonts w:hint="eastAsia" w:cs="仿宋" w:asciiTheme="minorEastAsia" w:hAnsiTheme="minorEastAsia" w:eastAsiaTheme="minorEastAsia"/>
          <w:b/>
          <w:sz w:val="72"/>
        </w:rPr>
      </w:r>
      <w:r/>
    </w:p>
    <w:p>
      <w:pPr>
        <w:pStyle w:val="1010"/>
        <w:ind w:firstLine="568"/>
        <w:rPr>
          <w:rFonts w:hint="eastAsia" w:cs="仿宋" w:asciiTheme="minorEastAsia" w:hAnsiTheme="minorEastAsia" w:eastAsiaTheme="minorEastAsia"/>
        </w:rPr>
      </w:pPr>
      <w:r>
        <w:rPr>
          <w:rFonts w:hint="eastAsia" w:cs="仿宋" w:asciiTheme="minorEastAsia" w:hAnsiTheme="minorEastAsia" w:eastAsiaTheme="minorEastAsia"/>
        </w:rPr>
      </w:r>
      <w:r/>
    </w:p>
    <w:p>
      <w:pPr>
        <w:pStyle w:val="1010"/>
        <w:ind w:firstLine="568"/>
        <w:rPr>
          <w:rFonts w:hint="eastAsia" w:cs="仿宋" w:asciiTheme="minorEastAsia" w:hAnsiTheme="minorEastAsia" w:eastAsiaTheme="minorEastAsia"/>
        </w:rPr>
      </w:pPr>
      <w:r>
        <w:rPr>
          <w:rFonts w:hint="eastAsia" w:cs="仿宋" w:asciiTheme="minorEastAsia" w:hAnsiTheme="minorEastAsia" w:eastAsiaTheme="minorEastAsia"/>
        </w:rPr>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项目编号：</w:t>
      </w:r>
      <w:r>
        <w:rPr>
          <w:rFonts w:cs="仿宋" w:asciiTheme="minorEastAsia" w:hAnsiTheme="minorEastAsia" w:eastAsiaTheme="minorEastAsia"/>
          <w:b/>
          <w:bCs/>
          <w:sz w:val="28"/>
          <w:szCs w:val="28"/>
        </w:rPr>
        <w:t xml:space="preserve">JSZC-321283-HWZX-G2025-0952</w:t>
      </w:r>
      <w:r>
        <w:rPr>
          <w:rFonts w:hint="eastAsia" w:cs="仿宋" w:asciiTheme="minorEastAsia" w:hAnsiTheme="minorEastAsia" w:eastAsiaTheme="minorEastAsia"/>
          <w:b/>
          <w:bCs/>
          <w:sz w:val="28"/>
          <w:szCs w:val="28"/>
        </w:rPr>
        <w:t xml:space="preserve"> </w:t>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Cs w:val="28"/>
        </w:rPr>
        <w:t xml:space="preserve">采购代理编号：</w:t>
      </w:r>
      <w:r>
        <w:rPr>
          <w:rFonts w:hint="eastAsia" w:cs="仿宋" w:asciiTheme="minorEastAsia" w:hAnsiTheme="minorEastAsia" w:eastAsiaTheme="minorEastAsia"/>
          <w:b/>
          <w:bCs/>
          <w:szCs w:val="28"/>
        </w:rPr>
        <w:t xml:space="preserve">0675-256JOC016371</w:t>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项目名称：</w:t>
      </w:r>
      <w:r>
        <w:rPr>
          <w:rFonts w:hint="eastAsia" w:cs="仿宋" w:asciiTheme="minorEastAsia" w:hAnsiTheme="minorEastAsia" w:eastAsiaTheme="minorEastAsia"/>
          <w:b/>
          <w:bCs/>
          <w:sz w:val="28"/>
          <w:szCs w:val="28"/>
        </w:rPr>
        <w:t xml:space="preserve">精神科专用设备</w:t>
      </w:r>
      <w:r/>
    </w:p>
    <w:p>
      <w:pPr>
        <w:ind w:firstLine="419"/>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ind w:firstLine="419"/>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采   购   人：</w:t>
      </w:r>
      <w:r>
        <w:rPr>
          <w:rFonts w:hint="eastAsia" w:cs="仿宋" w:asciiTheme="minorEastAsia" w:hAnsiTheme="minorEastAsia" w:eastAsiaTheme="minorEastAsia"/>
          <w:b/>
          <w:bCs/>
          <w:sz w:val="28"/>
          <w:szCs w:val="28"/>
        </w:rPr>
        <w:t xml:space="preserve">泰兴市黄桥镇刘陈卫生院（泰兴市精神卫生中心）</w:t>
      </w:r>
      <w:r/>
    </w:p>
    <w:p>
      <w:pPr>
        <w:pStyle w:val="852"/>
        <w:ind w:firstLine="0"/>
        <w:jc w:val="center"/>
        <w:rPr>
          <w:rFonts w:hint="eastAsia" w:cs="仿宋" w:asciiTheme="minorEastAsia" w:hAnsiTheme="minorEastAsia" w:eastAsiaTheme="minorEastAsia"/>
        </w:rPr>
      </w:pPr>
      <w:r>
        <w:rPr>
          <w:rFonts w:hint="eastAsia" w:cs="仿宋" w:asciiTheme="minorEastAsia" w:hAnsiTheme="minorEastAsia" w:eastAsiaTheme="minorEastAsia"/>
        </w:rPr>
      </w:r>
      <w:r/>
    </w:p>
    <w:p>
      <w:pPr>
        <w:jc w:val="center"/>
        <w:spacing w:line="360" w:lineRule="auto"/>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采购代理机构：江苏海外集团国际工程咨询有限公司</w:t>
      </w:r>
      <w:r/>
    </w:p>
    <w:p>
      <w:pPr>
        <w:jc w:val="center"/>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r>
      <w:r/>
    </w:p>
    <w:p>
      <w:pPr>
        <w:jc w:val="center"/>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202</w:t>
      </w:r>
      <w:r>
        <w:rPr>
          <w:rFonts w:cs="仿宋" w:asciiTheme="minorEastAsia" w:hAnsiTheme="minorEastAsia" w:eastAsiaTheme="minorEastAsia"/>
          <w:b/>
          <w:sz w:val="28"/>
          <w:szCs w:val="28"/>
        </w:rPr>
        <w:t xml:space="preserve">5</w:t>
      </w:r>
      <w:r>
        <w:rPr>
          <w:rFonts w:hint="eastAsia" w:cs="仿宋" w:asciiTheme="minorEastAsia" w:hAnsiTheme="minorEastAsia" w:eastAsiaTheme="minorEastAsia"/>
          <w:b/>
          <w:sz w:val="28"/>
          <w:szCs w:val="28"/>
        </w:rPr>
        <w:t xml:space="preserve">年</w:t>
      </w:r>
      <w:r>
        <w:rPr>
          <w:rFonts w:cs="仿宋" w:asciiTheme="minorEastAsia" w:hAnsiTheme="minorEastAsia" w:eastAsiaTheme="minorEastAsia"/>
          <w:b/>
          <w:sz w:val="28"/>
          <w:szCs w:val="28"/>
        </w:rPr>
        <w:t xml:space="preserve">12</w:t>
      </w:r>
      <w:r>
        <w:rPr>
          <w:rFonts w:hint="eastAsia" w:cs="仿宋" w:asciiTheme="minorEastAsia" w:hAnsiTheme="minorEastAsia" w:eastAsiaTheme="minorEastAsia"/>
          <w:b/>
          <w:sz w:val="28"/>
          <w:szCs w:val="28"/>
        </w:rPr>
        <w:t xml:space="preserve">月</w:t>
      </w:r>
      <w:r/>
    </w:p>
    <w:p>
      <w:pPr>
        <w:jc w:val="center"/>
        <w:spacing w:line="360" w:lineRule="auto"/>
        <w:widowControl/>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br w:type="page" w:clear="all"/>
      </w:r>
      <w:r/>
    </w:p>
    <w:p>
      <w:pPr>
        <w:jc w:val="center"/>
        <w:spacing w:line="360" w:lineRule="auto"/>
        <w:widowControl/>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r>
      <w:r/>
    </w:p>
    <w:p>
      <w:pPr>
        <w:jc w:val="center"/>
        <w:spacing w:line="360" w:lineRule="auto"/>
        <w:widowControl/>
        <w:rPr>
          <w:rFonts w:hint="eastAsia"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目  录</w:t>
      </w:r>
      <w:r/>
    </w:p>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1011"/>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begin"/>
      </w:r>
      <w:r>
        <w:rPr>
          <w:rFonts w:hint="eastAsia" w:cs="仿宋" w:asciiTheme="minorEastAsia" w:hAnsiTheme="minorEastAsia" w:eastAsiaTheme="minorEastAsia"/>
          <w:b/>
          <w:sz w:val="28"/>
          <w:szCs w:val="21"/>
        </w:rPr>
        <w:instrText xml:space="preserve">TOC  \* MERGEFORMAT</w:instrText>
      </w:r>
      <w:r>
        <w:rPr>
          <w:rFonts w:hint="eastAsia" w:cs="仿宋" w:asciiTheme="minorEastAsia" w:hAnsiTheme="minorEastAsia" w:eastAsiaTheme="minorEastAsia"/>
          <w:b/>
          <w:sz w:val="28"/>
          <w:szCs w:val="21"/>
        </w:rPr>
        <w:fldChar w:fldCharType="separate"/>
      </w:r>
      <w:r>
        <w:rPr>
          <w:rFonts w:hint="eastAsia" w:cs="仿宋" w:asciiTheme="minorEastAsia" w:hAnsiTheme="minorEastAsia" w:eastAsiaTheme="minorEastAsia"/>
          <w:b/>
          <w:sz w:val="28"/>
          <w:szCs w:val="21"/>
        </w:rPr>
        <w:t xml:space="preserve">第一章 招标公告</w:t>
      </w:r>
      <w:r/>
    </w:p>
    <w:p>
      <w:pPr>
        <w:pStyle w:val="1011"/>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第二章 投标人须知</w:t>
      </w:r>
      <w:r/>
    </w:p>
    <w:p>
      <w:pPr>
        <w:pStyle w:val="1011"/>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第三章 采购需求</w:t>
      </w:r>
      <w:r/>
    </w:p>
    <w:p>
      <w:pPr>
        <w:pStyle w:val="1011"/>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第四章 评标办法及标准</w:t>
      </w:r>
      <w:r/>
    </w:p>
    <w:p>
      <w:pPr>
        <w:pStyle w:val="1011"/>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第五章 合同条款</w:t>
      </w:r>
      <w:r/>
    </w:p>
    <w:p>
      <w:pPr>
        <w:pStyle w:val="1011"/>
        <w:spacing w:line="480" w:lineRule="auto"/>
        <w:tabs>
          <w:tab w:val="right" w:pos="9344" w:leader="dot"/>
        </w:tabs>
        <w:rPr>
          <w:rFonts w:hint="eastAsia"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end"/>
      </w:r>
      <w:r>
        <w:rPr>
          <w:rFonts w:hint="eastAsia" w:cs="仿宋" w:asciiTheme="minorEastAsia" w:hAnsiTheme="minorEastAsia" w:eastAsiaTheme="minorEastAsia"/>
          <w:b/>
          <w:sz w:val="28"/>
          <w:szCs w:val="21"/>
        </w:rPr>
        <w:t xml:space="preserve">第六章 投标文件格式</w:t>
      </w:r>
      <w:r/>
    </w:p>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spacing w:line="360" w:lineRule="auto"/>
        <w:rPr>
          <w:rFonts w:hint="eastAsia" w:cs="仿宋" w:asciiTheme="minorEastAsia" w:hAnsiTheme="minorEastAsia" w:eastAsiaTheme="minorEastAsia"/>
          <w:b/>
          <w:sz w:val="21"/>
          <w:szCs w:val="21"/>
        </w:rPr>
      </w:pPr>
      <w:r>
        <w:rPr>
          <w:rFonts w:hint="eastAsia" w:cs="仿宋" w:asciiTheme="minorEastAsia" w:hAnsiTheme="minorEastAsia" w:eastAsiaTheme="minorEastAsia"/>
          <w:b/>
          <w:sz w:val="21"/>
          <w:szCs w:val="21"/>
        </w:rPr>
      </w:r>
      <w:r/>
    </w:p>
    <w:p>
      <w:pPr>
        <w:jc w:val="center"/>
        <w:spacing w:line="360" w:lineRule="auto"/>
        <w:widowControl/>
        <w:rPr>
          <w:rFonts w:hint="eastAsia" w:cs="仿宋" w:asciiTheme="minorEastAsia" w:hAnsiTheme="minorEastAsia" w:eastAsiaTheme="minorEastAsia"/>
          <w:b/>
          <w:spacing w:val="15"/>
          <w:sz w:val="32"/>
          <w:szCs w:val="32"/>
        </w:rPr>
      </w:pPr>
      <w:r>
        <w:rPr>
          <w:rFonts w:hint="eastAsia" w:cs="仿宋" w:asciiTheme="minorEastAsia" w:hAnsiTheme="minorEastAsia" w:eastAsiaTheme="minorEastAsia"/>
          <w:sz w:val="21"/>
          <w:szCs w:val="21"/>
        </w:rPr>
        <w:br w:type="page" w:clear="all"/>
      </w:r>
      <w:bookmarkStart w:id="0" w:name="_Toc409438817"/>
      <w:r/>
      <w:bookmarkStart w:id="1" w:name="_Toc388026584"/>
      <w:r>
        <w:rPr>
          <w:rFonts w:hint="eastAsia" w:cs="仿宋" w:asciiTheme="minorEastAsia" w:hAnsiTheme="minorEastAsia" w:eastAsiaTheme="minorEastAsia"/>
          <w:b/>
          <w:spacing w:val="15"/>
          <w:sz w:val="32"/>
          <w:szCs w:val="32"/>
        </w:rPr>
        <w:t xml:space="preserve">第一章</w:t>
      </w:r>
      <w:r>
        <w:rPr>
          <w:rFonts w:hint="eastAsia" w:cs="宋体" w:asciiTheme="minorEastAsia" w:hAnsiTheme="minorEastAsia" w:eastAsiaTheme="minorEastAsia"/>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spacing w:val="15"/>
          <w:sz w:val="32"/>
          <w:szCs w:val="32"/>
        </w:rPr>
        <w:t xml:space="preserve">招标公告</w:t>
      </w:r>
      <w:r/>
    </w:p>
    <w:p>
      <w:pPr>
        <w:spacing w:line="360" w:lineRule="auto"/>
        <w:rPr>
          <w:rFonts w:hint="eastAsia"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rPr>
        <w:t xml:space="preserve">项目概况</w:t>
      </w:r>
      <w:r/>
    </w:p>
    <w:p>
      <w:pPr>
        <w:ind w:firstLine="488"/>
        <w:spacing w:line="360" w:lineRule="auto"/>
        <w:rPr>
          <w:rFonts w:hint="eastAsia"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u w:val="single"/>
        </w:rPr>
        <w:t xml:space="preserve">精神科专用设备</w:t>
      </w:r>
      <w:r>
        <w:rPr>
          <w:rFonts w:hint="eastAsia" w:cs="仿宋" w:asciiTheme="minorEastAsia" w:hAnsiTheme="minorEastAsia" w:eastAsiaTheme="minorEastAsia"/>
          <w:sz w:val="24"/>
          <w:szCs w:val="24"/>
        </w:rPr>
        <w:t xml:space="preserve">招标项目的潜在投标人可在</w:t>
      </w:r>
      <w:r>
        <w:rPr>
          <w:rFonts w:hint="eastAsia" w:cs="仿宋" w:asciiTheme="minorEastAsia" w:hAnsiTheme="minorEastAsia" w:eastAsiaTheme="minorEastAsia"/>
          <w:sz w:val="24"/>
          <w:szCs w:val="24"/>
        </w:rPr>
        <w:t xml:space="preserve">“江苏政府采购网</w:t>
      </w:r>
      <w:r>
        <w:rPr>
          <w:rFonts w:hint="eastAsia" w:cs="仿宋" w:asciiTheme="minorEastAsia" w:hAnsiTheme="minorEastAsia" w:eastAsiaTheme="minorEastAsia"/>
          <w:sz w:val="24"/>
          <w:szCs w:val="24"/>
          <w:u w:val="single"/>
        </w:rPr>
        <w:t xml:space="preserve">-苏</w:t>
      </w:r>
      <w:r>
        <w:rPr>
          <w:rFonts w:hint="eastAsia" w:cs="仿宋" w:asciiTheme="minorEastAsia" w:hAnsiTheme="minorEastAsia" w:eastAsiaTheme="minorEastAsia"/>
          <w:sz w:val="24"/>
          <w:szCs w:val="24"/>
          <w:u w:val="single"/>
        </w:rPr>
        <w:t xml:space="preserve">采云</w:t>
      </w:r>
      <w:r>
        <w:rPr>
          <w:rFonts w:hint="eastAsia" w:cs="仿宋" w:asciiTheme="minorEastAsia" w:hAnsiTheme="minorEastAsia" w:eastAsiaTheme="minorEastAsia"/>
          <w:sz w:val="24"/>
          <w:szCs w:val="24"/>
          <w:u w:val="single"/>
        </w:rPr>
        <w:t xml:space="preserve">”系统</w:t>
      </w:r>
      <w:r>
        <w:rPr>
          <w:rFonts w:hint="eastAsia" w:cs="仿宋" w:asciiTheme="minorEastAsia" w:hAnsiTheme="minorEastAsia" w:eastAsiaTheme="minorEastAsia"/>
          <w:sz w:val="24"/>
          <w:szCs w:val="24"/>
        </w:rPr>
        <w:t xml:space="preserve">自行下载招标文件 </w:t>
      </w:r>
      <w:hyperlink r:id="rId15" w:tooltip="http://jszfcg.jsczt.cn/）获取招标文件，并于2023年11月" w:history="1">
        <w:r>
          <w:rPr>
            <w:rStyle w:val="856"/>
            <w:rFonts w:hint="eastAsia" w:cs="仿宋" w:asciiTheme="minorEastAsia" w:hAnsiTheme="minorEastAsia" w:eastAsiaTheme="minorEastAsia"/>
            <w:color w:val="auto"/>
            <w:sz w:val="24"/>
            <w:szCs w:val="24"/>
            <w:u w:val="none"/>
          </w:rPr>
          <w:t xml:space="preserve">，并于</w:t>
        </w:r>
        <w:r>
          <w:rPr>
            <w:rStyle w:val="856"/>
            <w:rFonts w:hint="eastAsia" w:cs="仿宋" w:asciiTheme="minorEastAsia" w:hAnsiTheme="minorEastAsia" w:eastAsiaTheme="minorEastAsia"/>
            <w:color w:val="auto"/>
            <w:sz w:val="24"/>
            <w:szCs w:val="24"/>
          </w:rPr>
          <w:t xml:space="preserve">202</w:t>
        </w:r>
        <w:r>
          <w:rPr>
            <w:rStyle w:val="856"/>
            <w:rFonts w:hint="eastAsia" w:cs="仿宋" w:asciiTheme="minorEastAsia" w:hAnsiTheme="minorEastAsia" w:eastAsiaTheme="minorEastAsia"/>
            <w:color w:val="auto"/>
            <w:sz w:val="24"/>
            <w:szCs w:val="24"/>
          </w:rPr>
          <w:t xml:space="preserve">6</w:t>
        </w:r>
        <w:r>
          <w:rPr>
            <w:rStyle w:val="856"/>
            <w:rFonts w:hint="eastAsia" w:cs="仿宋" w:asciiTheme="minorEastAsia" w:hAnsiTheme="minorEastAsia" w:eastAsiaTheme="minorEastAsia"/>
            <w:color w:val="auto"/>
            <w:sz w:val="24"/>
            <w:szCs w:val="24"/>
          </w:rPr>
          <w:t xml:space="preserve">年</w:t>
        </w:r>
        <w:r>
          <w:rPr>
            <w:rStyle w:val="856"/>
            <w:rFonts w:hint="eastAsia" w:cs="仿宋" w:asciiTheme="minorEastAsia" w:hAnsiTheme="minorEastAsia" w:eastAsiaTheme="minorEastAsia"/>
            <w:color w:val="auto"/>
            <w:sz w:val="24"/>
            <w:szCs w:val="24"/>
          </w:rPr>
          <w:t xml:space="preserve">1</w:t>
        </w:r>
        <w:r>
          <w:rPr>
            <w:rStyle w:val="856"/>
            <w:rFonts w:hint="eastAsia" w:cs="仿宋" w:asciiTheme="minorEastAsia" w:hAnsiTheme="minorEastAsia" w:eastAsiaTheme="minorEastAsia"/>
            <w:color w:val="auto"/>
            <w:sz w:val="24"/>
            <w:szCs w:val="24"/>
          </w:rPr>
          <w:t xml:space="preserve">月</w:t>
        </w:r>
      </w:hyperlink>
      <w:r>
        <w:rPr>
          <w:rStyle w:val="856"/>
          <w:rFonts w:hint="eastAsia" w:cs="仿宋" w:asciiTheme="minorEastAsia" w:hAnsiTheme="minorEastAsia" w:eastAsiaTheme="minorEastAsia"/>
          <w:color w:val="auto"/>
          <w:sz w:val="24"/>
          <w:szCs w:val="24"/>
        </w:rPr>
        <w:t xml:space="preserve">7</w:t>
      </w:r>
      <w:r>
        <w:rPr>
          <w:rFonts w:hint="eastAsia" w:cs="仿宋" w:asciiTheme="minorEastAsia" w:hAnsiTheme="minorEastAsia" w:eastAsiaTheme="minorEastAsia"/>
          <w:sz w:val="24"/>
          <w:szCs w:val="24"/>
          <w:u w:val="single"/>
        </w:rPr>
        <w:t xml:space="preserve">日1</w:t>
      </w:r>
      <w:r>
        <w:rPr>
          <w:rFonts w:hint="eastAsia" w:cs="仿宋" w:asciiTheme="minorEastAsia" w:hAnsiTheme="minorEastAsia" w:eastAsiaTheme="minorEastAsia"/>
          <w:sz w:val="24"/>
          <w:szCs w:val="24"/>
          <w:u w:val="single"/>
        </w:rPr>
        <w:t xml:space="preserve">5</w:t>
      </w:r>
      <w:r>
        <w:rPr>
          <w:rFonts w:hint="eastAsia" w:cs="仿宋" w:asciiTheme="minorEastAsia" w:hAnsiTheme="minorEastAsia" w:eastAsiaTheme="minorEastAsia"/>
          <w:sz w:val="24"/>
          <w:szCs w:val="24"/>
          <w:u w:val="single"/>
        </w:rPr>
        <w:t xml:space="preserve">时</w:t>
      </w:r>
      <w:r>
        <w:rPr>
          <w:rFonts w:hint="eastAsia" w:cs="仿宋" w:asciiTheme="minorEastAsia" w:hAnsiTheme="minorEastAsia" w:eastAsiaTheme="minorEastAsia"/>
          <w:sz w:val="24"/>
          <w:szCs w:val="24"/>
          <w:u w:val="single"/>
        </w:rPr>
        <w:t xml:space="preserve">00</w:t>
      </w:r>
      <w:r>
        <w:rPr>
          <w:rFonts w:hint="eastAsia" w:cs="仿宋" w:asciiTheme="minorEastAsia" w:hAnsiTheme="minorEastAsia" w:eastAsiaTheme="minorEastAsia"/>
          <w:sz w:val="24"/>
          <w:szCs w:val="24"/>
          <w:u w:val="single"/>
        </w:rPr>
        <w:t xml:space="preserve">分</w:t>
      </w:r>
      <w:r>
        <w:rPr>
          <w:rFonts w:hint="eastAsia" w:cs="仿宋" w:asciiTheme="minorEastAsia" w:hAnsiTheme="minorEastAsia" w:eastAsiaTheme="minorEastAsia"/>
          <w:bCs/>
          <w:sz w:val="24"/>
          <w:szCs w:val="24"/>
        </w:rPr>
        <w:t xml:space="preserve">（北京时间）前上传投标文件</w:t>
      </w:r>
      <w:r>
        <w:rPr>
          <w:rFonts w:hint="eastAsia" w:cs="仿宋" w:asciiTheme="minorEastAsia" w:hAnsiTheme="minorEastAsia" w:eastAsiaTheme="minorEastAsia"/>
          <w:sz w:val="24"/>
          <w:szCs w:val="24"/>
        </w:rPr>
        <w:t xml:space="preserve">。</w:t>
      </w:r>
      <w:r/>
    </w:p>
    <w:p>
      <w:pPr>
        <w:pStyle w:val="1012"/>
        <w:spacing w:before="0" w:after="0" w:line="500" w:lineRule="exact"/>
        <w:rPr>
          <w:rFonts w:hint="eastAsia" w:cs="仿宋" w:asciiTheme="minorEastAsia" w:hAnsiTheme="minorEastAsia" w:eastAsiaTheme="minorEastAsia"/>
          <w:bCs w:val="0"/>
          <w:sz w:val="24"/>
          <w:szCs w:val="24"/>
        </w:rPr>
      </w:pPr>
      <w:r/>
      <w:bookmarkStart w:id="5" w:name="_Toc35393790"/>
      <w:r/>
      <w:bookmarkStart w:id="6" w:name="_Toc28359002"/>
      <w:r/>
      <w:bookmarkStart w:id="7" w:name="_Toc28359079"/>
      <w:r/>
      <w:bookmarkStart w:id="8" w:name="_Toc35393621"/>
      <w:r/>
      <w:bookmarkStart w:id="9" w:name="_Hlk24379207"/>
      <w:r>
        <w:rPr>
          <w:rFonts w:hint="eastAsia" w:cs="仿宋" w:asciiTheme="minorEastAsia" w:hAnsiTheme="minorEastAsia" w:eastAsiaTheme="minorEastAsia"/>
          <w:bCs w:val="0"/>
          <w:sz w:val="24"/>
          <w:szCs w:val="24"/>
        </w:rPr>
        <w:t xml:space="preserve">一、项目基本情况</w:t>
      </w:r>
      <w:bookmarkEnd w:id="5"/>
      <w:r/>
      <w:bookmarkEnd w:id="6"/>
      <w:r/>
      <w:bookmarkEnd w:id="7"/>
      <w:r/>
      <w:bookmarkEnd w:id="8"/>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rPr>
          <w:rFonts w:cs="仿宋" w:asciiTheme="minorEastAsia" w:hAnsiTheme="minorEastAsia" w:eastAsiaTheme="minorEastAsia"/>
          <w:sz w:val="24"/>
          <w:szCs w:val="24"/>
        </w:rPr>
        <w:t xml:space="preserve">JSZC-321283-HWZX-G2025-0952</w:t>
      </w:r>
      <w:r>
        <w:rPr>
          <w:rFonts w:hint="eastAsia" w:cs="仿宋" w:asciiTheme="minorEastAsia" w:hAnsiTheme="minorEastAsia" w:eastAsiaTheme="minorEastAsia"/>
          <w:sz w:val="24"/>
          <w:szCs w:val="24"/>
        </w:rPr>
        <w:t xml:space="preserve"> </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采购代理编号：</w:t>
      </w:r>
      <w:r>
        <w:rPr>
          <w:rFonts w:cs="仿宋" w:asciiTheme="minorEastAsia" w:hAnsiTheme="minorEastAsia" w:eastAsiaTheme="minorEastAsia"/>
          <w:sz w:val="24"/>
          <w:szCs w:val="24"/>
        </w:rPr>
        <w:t xml:space="preserve">0675-256JOC016371</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bookmarkEnd w:id="9"/>
      <w:r>
        <w:rPr>
          <w:rFonts w:hint="eastAsia" w:cs="仿宋" w:asciiTheme="minorEastAsia" w:hAnsiTheme="minorEastAsia" w:eastAsiaTheme="minorEastAsia"/>
          <w:sz w:val="24"/>
          <w:szCs w:val="24"/>
        </w:rPr>
        <w:t xml:space="preserve">精神科专用设备</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预算金额：</w:t>
      </w:r>
      <w:r>
        <w:rPr>
          <w:rFonts w:cs="仿宋" w:asciiTheme="minorEastAsia" w:hAnsiTheme="minorEastAsia" w:eastAsiaTheme="minorEastAsia"/>
          <w:sz w:val="24"/>
          <w:szCs w:val="24"/>
        </w:rPr>
        <w:t xml:space="preserve">84</w:t>
      </w:r>
      <w:r>
        <w:rPr>
          <w:rFonts w:hint="eastAsia" w:cs="仿宋" w:asciiTheme="minorEastAsia" w:hAnsiTheme="minorEastAsia" w:eastAsiaTheme="minorEastAsia"/>
          <w:sz w:val="24"/>
          <w:szCs w:val="24"/>
        </w:rPr>
        <w:t xml:space="preserve">万元</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w:t>
      </w:r>
      <w:r>
        <w:rPr>
          <w:rFonts w:cs="仿宋" w:asciiTheme="minorEastAsia" w:hAnsiTheme="minorEastAsia" w:eastAsiaTheme="minorEastAsia"/>
          <w:sz w:val="24"/>
          <w:szCs w:val="24"/>
        </w:rPr>
        <w:t xml:space="preserve">84</w:t>
      </w:r>
      <w:r>
        <w:rPr>
          <w:rFonts w:hint="eastAsia" w:cs="仿宋" w:asciiTheme="minorEastAsia" w:hAnsiTheme="minorEastAsia" w:eastAsiaTheme="minorEastAsia"/>
          <w:sz w:val="24"/>
          <w:szCs w:val="24"/>
        </w:rPr>
        <w:t xml:space="preserve">万元</w:t>
      </w:r>
      <w:r/>
    </w:p>
    <w:p>
      <w:pPr>
        <w:ind w:firstLine="480"/>
        <w:jc w:val="left"/>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w:t>
      </w:r>
      <w:r/>
    </w:p>
    <w:tbl>
      <w:tblPr>
        <w:tblStyle w:val="1039"/>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680" w:hRule="exact"/>
        </w:trPr>
        <w:tc>
          <w:tcPr>
            <w:shd w:val="clear" w:color="auto" w:fill="ffffff"/>
            <w:tcW w:w="4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440" w:lineRule="exact"/>
              <w:rPr>
                <w:rFonts w:hint="eastAsia" w:ascii="宋体" w:hAnsi="宋体" w:eastAsia="宋体" w:cs="宋体"/>
                <w:sz w:val="24"/>
                <w:szCs w:val="24"/>
              </w:rPr>
            </w:pPr>
            <w:r>
              <w:rPr>
                <w:rFonts w:hint="eastAsia" w:cs="仿宋" w:asciiTheme="minorEastAsia" w:hAnsiTheme="minorEastAsia" w:eastAsiaTheme="minorEastAsia"/>
                <w:sz w:val="24"/>
                <w:szCs w:val="24"/>
              </w:rPr>
              <w:t xml:space="preserve">精神科专用设备</w:t>
            </w:r>
            <w:r/>
          </w:p>
        </w:tc>
        <w:tc>
          <w:tcPr>
            <w:shd w:val="clear" w:color="auto" w:fill="ffffff"/>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批</w:t>
            </w:r>
            <w:r/>
          </w:p>
        </w:tc>
        <w:tc>
          <w:tcPr>
            <w:shd w:val="clear" w:color="auto" w:fill="ffffff"/>
            <w:tcW w:w="11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4</w:t>
            </w:r>
            <w:r/>
          </w:p>
        </w:tc>
        <w:tc>
          <w:tcPr>
            <w:shd w:val="clear" w:color="auto" w:fill="ffffff"/>
            <w:tcW w:w="6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13"/>
        <w:ind w:firstLine="480"/>
        <w:spacing w:line="500" w:lineRule="exact"/>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合同履行期限：合同签订后一个月内</w:t>
      </w:r>
      <w:r/>
    </w:p>
    <w:p>
      <w:pPr>
        <w:pStyle w:val="1013"/>
        <w:ind w:firstLine="480"/>
        <w:spacing w:line="500" w:lineRule="exact"/>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本项目不接受联合体投标。</w:t>
      </w:r>
      <w:r>
        <w:rPr>
          <w:rFonts w:hint="eastAsia" w:asciiTheme="minorEastAsia" w:hAnsiTheme="minorEastAsia" w:eastAsiaTheme="minorEastAsia"/>
          <w:color w:val="auto"/>
        </w:rPr>
        <w:t xml:space="preserve"> </w:t>
      </w:r>
      <w:r/>
    </w:p>
    <w:p>
      <w:pPr>
        <w:pStyle w:val="1012"/>
        <w:spacing w:before="0" w:after="0" w:line="500" w:lineRule="exact"/>
        <w:rPr>
          <w:rFonts w:hint="eastAsia" w:cs="仿宋" w:asciiTheme="minorEastAsia" w:hAnsiTheme="minorEastAsia" w:eastAsiaTheme="minorEastAsia"/>
          <w:bCs w:val="0"/>
          <w:sz w:val="24"/>
          <w:szCs w:val="24"/>
        </w:rPr>
      </w:pPr>
      <w:r/>
      <w:bookmarkStart w:id="10" w:name="_Toc28359003"/>
      <w:r/>
      <w:bookmarkStart w:id="11" w:name="_Toc35393622"/>
      <w:r/>
      <w:bookmarkStart w:id="12" w:name="_Toc28359080"/>
      <w:r/>
      <w:bookmarkStart w:id="13" w:name="_Toc35393791"/>
      <w:r>
        <w:rPr>
          <w:rFonts w:hint="eastAsia" w:cs="仿宋" w:asciiTheme="minorEastAsia" w:hAnsiTheme="minorEastAsia" w:eastAsiaTheme="minorEastAsia"/>
          <w:bCs w:val="0"/>
          <w:sz w:val="24"/>
          <w:szCs w:val="24"/>
        </w:rPr>
        <w:t xml:space="preserve">二、申请人的资格要求：</w:t>
      </w:r>
      <w:bookmarkEnd w:id="10"/>
      <w:r/>
      <w:bookmarkEnd w:id="11"/>
      <w:r/>
      <w:bookmarkEnd w:id="12"/>
      <w:r/>
      <w:bookmarkEnd w:id="13"/>
      <w:r/>
      <w:r/>
    </w:p>
    <w:p>
      <w:pPr>
        <w:ind w:firstLine="564"/>
        <w:spacing w:line="360" w:lineRule="auto"/>
        <w:widowControl/>
        <w:rPr>
          <w:rFonts w:hint="eastAsia" w:ascii="宋体" w:hAnsi="宋体" w:eastAsia="宋体"/>
          <w:bCs/>
          <w:sz w:val="24"/>
          <w:szCs w:val="24"/>
        </w:rPr>
      </w:pPr>
      <w:r/>
      <w:bookmarkStart w:id="14" w:name="_Toc28359004"/>
      <w:r/>
      <w:bookmarkStart w:id="15" w:name="_Toc35393792"/>
      <w:r/>
      <w:bookmarkStart w:id="16" w:name="_Toc35393623"/>
      <w:r/>
      <w:bookmarkStart w:id="17" w:name="_Toc28359081"/>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1.1具有独立承担民事责任的能力（提供法人或者其他组织的营业执照等证明文件，自然人的身份证明）；</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1.2具有良好的商业信誉和健全的财务会计制度（提供上一年度的财务状况报告，成立不满一年不需提供）；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1.3有依法缴纳税收和社会保障资金的良好记录（提供供应商参加本次政府采购活动前6个月内（即202</w:t>
      </w:r>
      <w:r>
        <w:rPr>
          <w:rFonts w:ascii="宋体" w:hAnsi="宋体" w:eastAsia="宋体"/>
          <w:sz w:val="24"/>
          <w:szCs w:val="24"/>
        </w:rPr>
        <w:t xml:space="preserve">5</w:t>
      </w:r>
      <w:r>
        <w:rPr>
          <w:rFonts w:hint="eastAsia" w:ascii="宋体" w:hAnsi="宋体" w:eastAsia="宋体"/>
          <w:sz w:val="24"/>
          <w:szCs w:val="24"/>
        </w:rPr>
        <w:t xml:space="preserve">年</w:t>
      </w:r>
      <w:r>
        <w:rPr>
          <w:rFonts w:ascii="宋体" w:hAnsi="宋体" w:eastAsia="宋体"/>
          <w:sz w:val="24"/>
          <w:szCs w:val="24"/>
        </w:rPr>
        <w:t xml:space="preserve">6</w:t>
      </w:r>
      <w:r>
        <w:rPr>
          <w:rFonts w:hint="eastAsia" w:ascii="宋体" w:hAnsi="宋体" w:eastAsia="宋体"/>
          <w:sz w:val="24"/>
          <w:szCs w:val="24"/>
        </w:rPr>
        <w:t xml:space="preserve">月-2025年</w:t>
      </w:r>
      <w:r>
        <w:rPr>
          <w:rFonts w:ascii="宋体" w:hAnsi="宋体" w:eastAsia="宋体"/>
          <w:sz w:val="24"/>
          <w:szCs w:val="24"/>
        </w:rPr>
        <w:t xml:space="preserve">11</w:t>
      </w:r>
      <w:r>
        <w:rPr>
          <w:rFonts w:hint="eastAsia" w:ascii="宋体" w:hAnsi="宋体" w:eastAsia="宋体"/>
          <w:sz w:val="24"/>
          <w:szCs w:val="24"/>
        </w:rPr>
        <w:t xml:space="preserve">月期间）至少一个月缴纳税收及缴纳社会保障资金的证明材料。供应</w:t>
      </w:r>
      <w:r>
        <w:rPr>
          <w:rFonts w:hint="eastAsia" w:ascii="宋体" w:hAnsi="宋体" w:eastAsia="宋体"/>
          <w:sz w:val="24"/>
          <w:szCs w:val="24"/>
        </w:rPr>
        <w:t xml:space="preserve">商依法</w:t>
      </w:r>
      <w:r>
        <w:rPr>
          <w:rFonts w:hint="eastAsia" w:ascii="宋体" w:hAnsi="宋体" w:eastAsia="宋体"/>
          <w:sz w:val="24"/>
          <w:szCs w:val="24"/>
        </w:rPr>
        <w:t xml:space="preserve">享受缓缴、免缴税收、社会</w:t>
      </w:r>
      <w:r>
        <w:rPr>
          <w:rFonts w:hint="eastAsia" w:ascii="宋体" w:hAnsi="宋体" w:eastAsia="宋体"/>
          <w:sz w:val="24"/>
          <w:szCs w:val="24"/>
        </w:rPr>
        <w:t xml:space="preserve">保障资金的提供证明材料）；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1.4具有履行合同所必需的设备和专业技术能力（提供书面声明）；</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1.5参加政府采购活动前3年内在经营活动中没有重大违法记录（提供书面声明）；</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w:t>
      </w:r>
      <w:r>
        <w:rPr>
          <w:rFonts w:ascii="宋体" w:hAnsi="宋体" w:eastAsia="宋体"/>
          <w:bCs/>
          <w:sz w:val="24"/>
          <w:szCs w:val="24"/>
        </w:rPr>
        <w:t xml:space="preserve">财购(</w:t>
      </w:r>
      <w:r>
        <w:rPr>
          <w:rFonts w:ascii="宋体" w:hAnsi="宋体" w:eastAsia="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投标人需提供三类医疗器械经营企业许可证/二类医疗器械经营备案凭证、所投产品医疗器械注册证、医疗器械产品注册登记表/医疗器械备案凭证；（如适用）</w:t>
      </w:r>
      <w:r/>
    </w:p>
    <w:p>
      <w:pPr>
        <w:pStyle w:val="1012"/>
        <w:spacing w:before="0" w:after="0" w:line="500" w:lineRule="exact"/>
        <w:rPr>
          <w:rFonts w:hint="eastAsia" w:cs="仿宋" w:asciiTheme="minorEastAsia" w:hAnsiTheme="minorEastAsia" w:eastAsiaTheme="minorEastAsia"/>
          <w:bCs w:val="0"/>
          <w:sz w:val="24"/>
          <w:szCs w:val="24"/>
        </w:rPr>
      </w:pPr>
      <w:r>
        <w:rPr>
          <w:rFonts w:hint="eastAsia" w:cs="仿宋" w:asciiTheme="minorEastAsia" w:hAnsiTheme="minorEastAsia" w:eastAsiaTheme="minorEastAsia"/>
          <w:bCs w:val="0"/>
          <w:sz w:val="24"/>
          <w:szCs w:val="24"/>
        </w:rPr>
        <w:t xml:space="preserve">三、获取招标文件</w:t>
      </w:r>
      <w:bookmarkEnd w:id="14"/>
      <w:r/>
      <w:bookmarkEnd w:id="15"/>
      <w:r/>
      <w:bookmarkEnd w:id="16"/>
      <w:r/>
      <w:bookmarkEnd w:id="17"/>
      <w:r>
        <w:rPr>
          <w:rFonts w:hint="eastAsia" w:cs="仿宋" w:asciiTheme="minorEastAsia" w:hAnsiTheme="minorEastAsia" w:eastAsiaTheme="minorEastAsia"/>
          <w:bCs w:val="0"/>
          <w:sz w:val="24"/>
          <w:szCs w:val="24"/>
        </w:rPr>
        <w:t xml:space="preserve">：</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时间：自招标文件公告发布之日起5个工作日。</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地点：投标人完成注册并办理CA证书后登录“江苏政府采购‘苏采云’系统”下载本项目招标文件。</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方式：登录江苏政府采购“苏采云”系统免费下载。</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售价：免费。</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注意事项：</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本项目采用网上注册登记方式。</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1.潜在投标人访问电子招标投标交易平台的网络地址和方法：</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（1）登录 http://jszfcg.jsczt.cn/，点击“苏采云”进入系统。</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2.采购代理机构将数据电文形式的招标文件加载至电子招标投标交易平台，供潜在投标人下载或者查</w:t>
      </w:r>
      <w:r>
        <w:rPr>
          <w:rFonts w:hint="eastAsia" w:cs="仿宋" w:asciiTheme="minorEastAsia" w:hAnsiTheme="minorEastAsia" w:eastAsiaTheme="minorEastAsia"/>
          <w:sz w:val="24"/>
          <w:szCs w:val="24"/>
        </w:rPr>
        <w:t xml:space="preserve">阅。</w:t>
      </w:r>
      <w:r/>
    </w:p>
    <w:p>
      <w:pPr>
        <w:ind w:firstLine="48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3.如潜在投标人未按上述要求操作，将自行承担所产生的风险。</w:t>
      </w:r>
      <w:r/>
    </w:p>
    <w:p>
      <w:pPr>
        <w:pStyle w:val="1012"/>
        <w:spacing w:before="0" w:after="0" w:line="500" w:lineRule="exact"/>
        <w:rPr>
          <w:rFonts w:hint="eastAsia" w:cs="仿宋" w:asciiTheme="minorEastAsia" w:hAnsiTheme="minorEastAsia" w:eastAsiaTheme="minorEastAsia"/>
          <w:bCs w:val="0"/>
          <w:sz w:val="24"/>
          <w:szCs w:val="24"/>
        </w:rPr>
      </w:pPr>
      <w:r/>
      <w:bookmarkStart w:id="18" w:name="_Toc28359005"/>
      <w:r/>
      <w:bookmarkStart w:id="19" w:name="_Toc28359082"/>
      <w:r/>
      <w:bookmarkStart w:id="20" w:name="_Toc35393624"/>
      <w:r/>
      <w:bookmarkStart w:id="21" w:name="_Toc35393793"/>
      <w:r>
        <w:rPr>
          <w:rFonts w:hint="eastAsia" w:cs="仿宋" w:asciiTheme="minorEastAsia" w:hAnsiTheme="minorEastAsia" w:eastAsiaTheme="minorEastAsia"/>
          <w:bCs w:val="0"/>
          <w:sz w:val="24"/>
          <w:szCs w:val="24"/>
        </w:rPr>
        <w:t xml:space="preserve">四、提交投标文件</w:t>
      </w:r>
      <w:bookmarkEnd w:id="18"/>
      <w:r/>
      <w:bookmarkEnd w:id="19"/>
      <w:r>
        <w:rPr>
          <w:rFonts w:hint="eastAsia" w:cs="仿宋" w:asciiTheme="minorEastAsia" w:hAnsiTheme="minorEastAsia" w:eastAsiaTheme="minorEastAsia"/>
          <w:bCs w:val="0"/>
          <w:sz w:val="24"/>
          <w:szCs w:val="24"/>
        </w:rPr>
        <w:t xml:space="preserve">截止时间、开标时间和地点</w:t>
      </w:r>
      <w:bookmarkEnd w:id="20"/>
      <w:r/>
      <w:bookmarkEnd w:id="21"/>
      <w:r/>
      <w:r/>
    </w:p>
    <w:p>
      <w:pPr>
        <w:ind w:firstLine="488"/>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时间：202</w:t>
      </w:r>
      <w:r>
        <w:rPr>
          <w:rFonts w:hint="eastAsia"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日1</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时</w:t>
      </w:r>
      <w:r>
        <w:rPr>
          <w:rFonts w:hint="eastAsia"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0分（北京时间）</w:t>
      </w:r>
      <w:r/>
    </w:p>
    <w:p>
      <w:pPr>
        <w:ind w:firstLine="540"/>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w:t>
      </w:r>
      <w:r/>
    </w:p>
    <w:p>
      <w:pPr>
        <w:pStyle w:val="1012"/>
        <w:spacing w:before="0" w:after="0" w:line="500" w:lineRule="exact"/>
        <w:rPr>
          <w:rFonts w:hint="eastAsia" w:cs="仿宋" w:asciiTheme="minorEastAsia" w:hAnsiTheme="minorEastAsia" w:eastAsiaTheme="minorEastAsia"/>
          <w:bCs w:val="0"/>
          <w:sz w:val="24"/>
          <w:szCs w:val="24"/>
        </w:rPr>
      </w:pPr>
      <w:r/>
      <w:bookmarkStart w:id="22" w:name="_Toc35393794"/>
      <w:r/>
      <w:bookmarkStart w:id="23" w:name="_Toc28359084"/>
      <w:r/>
      <w:bookmarkStart w:id="24" w:name="_Toc28359007"/>
      <w:r/>
      <w:bookmarkStart w:id="25" w:name="_Toc35393625"/>
      <w:r>
        <w:rPr>
          <w:rFonts w:hint="eastAsia" w:cs="仿宋" w:asciiTheme="minorEastAsia" w:hAnsiTheme="minorEastAsia" w:eastAsiaTheme="minorEastAsia"/>
          <w:bCs w:val="0"/>
          <w:sz w:val="24"/>
          <w:szCs w:val="24"/>
        </w:rPr>
        <w:t xml:space="preserve">五、公告期限</w:t>
      </w:r>
      <w:bookmarkEnd w:id="22"/>
      <w:r/>
      <w:bookmarkEnd w:id="23"/>
      <w:r/>
      <w:bookmarkEnd w:id="24"/>
      <w:r/>
      <w:bookmarkEnd w:id="25"/>
      <w:r/>
      <w:r/>
    </w:p>
    <w:p>
      <w:pPr>
        <w:ind w:firstLine="488"/>
        <w:spacing w:line="50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pStyle w:val="1012"/>
        <w:spacing w:before="0" w:after="0" w:line="500" w:lineRule="exact"/>
        <w:rPr>
          <w:rFonts w:hint="eastAsia" w:cs="仿宋" w:asciiTheme="minorEastAsia" w:hAnsiTheme="minorEastAsia" w:eastAsiaTheme="minorEastAsia"/>
          <w:bCs w:val="0"/>
          <w:sz w:val="24"/>
          <w:szCs w:val="24"/>
        </w:rPr>
      </w:pPr>
      <w:r/>
      <w:bookmarkStart w:id="26" w:name="_Toc35393626"/>
      <w:r/>
      <w:bookmarkStart w:id="27" w:name="_Toc35393795"/>
      <w:r>
        <w:rPr>
          <w:rFonts w:hint="eastAsia" w:cs="仿宋" w:asciiTheme="minorEastAsia" w:hAnsiTheme="minorEastAsia" w:eastAsiaTheme="minorEastAsia"/>
          <w:bCs w:val="0"/>
          <w:sz w:val="24"/>
          <w:szCs w:val="24"/>
        </w:rPr>
        <w:t xml:space="preserve">六、其他补充事宜</w:t>
      </w:r>
      <w:bookmarkEnd w:id="26"/>
      <w:r/>
      <w:bookmarkEnd w:id="27"/>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28" w:name="_Toc35393627"/>
      <w:r/>
      <w:bookmarkStart w:id="29" w:name="_Toc35393796"/>
      <w:r/>
      <w:bookmarkStart w:id="30" w:name="_Toc28359008"/>
      <w:r/>
      <w:bookmarkStart w:id="31"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2" w:name="_Hlk142317669"/>
      <w:r>
        <w:rPr>
          <w:rFonts w:hint="eastAsia" w:ascii="宋体" w:hAnsi="宋体" w:eastAsia="宋体" w:cs="宋体"/>
          <w:bCs/>
          <w:sz w:val="24"/>
          <w:szCs w:val="24"/>
        </w:rPr>
        <w:t xml:space="preserve">本项目支持</w:t>
      </w:r>
      <w:bookmarkEnd w:id="32"/>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w:t>
      </w:r>
      <w:r>
        <w:rPr>
          <w:rFonts w:hint="eastAsia" w:ascii="宋体" w:hAnsi="宋体" w:eastAsia="宋体" w:cs="宋体"/>
          <w:bCs/>
          <w:sz w:val="24"/>
          <w:szCs w:val="24"/>
        </w:rPr>
        <w:t xml:space="preserve">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3、本项目不属于专门面向中小企业采购的项目</w:t>
      </w:r>
      <w:r/>
    </w:p>
    <w:p>
      <w:pPr>
        <w:pStyle w:val="1012"/>
        <w:spacing w:before="0" w:after="0"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七、对本次招标提出询问，请按以下方</w:t>
      </w:r>
      <w:r>
        <w:rPr>
          <w:rFonts w:hint="eastAsia" w:cs="仿宋" w:asciiTheme="minorEastAsia" w:hAnsiTheme="minorEastAsia" w:eastAsiaTheme="minorEastAsia"/>
          <w:sz w:val="24"/>
          <w:szCs w:val="24"/>
        </w:rPr>
        <w:t xml:space="preserve">式联系。</w:t>
      </w:r>
      <w:bookmarkEnd w:id="28"/>
      <w:r/>
      <w:bookmarkEnd w:id="29"/>
      <w:r/>
      <w:bookmarkEnd w:id="30"/>
      <w:r/>
      <w:bookmarkEnd w:id="31"/>
      <w:r/>
      <w:r/>
    </w:p>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泰兴市黄桥镇刘陈卫生院（泰兴市精神卫生中心）</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江苏省泰州市泰兴市交通西路1</w:t>
      </w:r>
      <w:r>
        <w:rPr>
          <w:rFonts w:ascii="宋体" w:hAnsi="宋体" w:eastAsia="宋体"/>
          <w:bCs/>
          <w:sz w:val="24"/>
          <w:szCs w:val="24"/>
        </w:rPr>
        <w:t xml:space="preserve">4</w:t>
      </w:r>
      <w:r>
        <w:rPr>
          <w:rFonts w:hint="eastAsia" w:ascii="宋体" w:hAnsi="宋体" w:eastAsia="宋体"/>
          <w:bCs/>
          <w:sz w:val="24"/>
          <w:szCs w:val="24"/>
        </w:rPr>
        <w:t xml:space="preserve">号</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联系人：</w:t>
      </w:r>
      <w:r>
        <w:rPr>
          <w:rFonts w:hint="eastAsia" w:ascii="宋体" w:hAnsi="宋体" w:eastAsia="宋体"/>
          <w:bCs/>
          <w:sz w:val="24"/>
          <w:szCs w:val="24"/>
        </w:rPr>
        <w:t xml:space="preserve">李萍</w:t>
      </w:r>
      <w:r>
        <w:rPr>
          <w:rFonts w:ascii="宋体" w:hAnsi="宋体" w:eastAsia="宋体"/>
          <w:bCs/>
          <w:sz w:val="24"/>
          <w:szCs w:val="24"/>
        </w:rPr>
        <w:t xml:space="preserve">   </w:t>
      </w:r>
      <w:r>
        <w:rPr>
          <w:rFonts w:hint="eastAsia" w:ascii="宋体" w:hAnsi="宋体" w:eastAsia="宋体"/>
          <w:bCs/>
          <w:sz w:val="24"/>
          <w:szCs w:val="24"/>
        </w:rPr>
        <w:t xml:space="preserve">电话：</w:t>
      </w:r>
      <w:r>
        <w:rPr>
          <w:rFonts w:ascii="宋体" w:hAnsi="宋体" w:eastAsia="宋体"/>
          <w:bCs/>
          <w:sz w:val="24"/>
          <w:szCs w:val="24"/>
        </w:rPr>
        <w:t xml:space="preserve">15190618485</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址：南京市建邺区云龙山路56号大唐科</w:t>
      </w:r>
      <w:r>
        <w:rPr>
          <w:rFonts w:hint="eastAsia" w:ascii="宋体" w:hAnsi="宋体" w:eastAsia="宋体"/>
          <w:bCs/>
          <w:sz w:val="24"/>
          <w:szCs w:val="24"/>
        </w:rPr>
        <w:t xml:space="preserve">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项目联系人：马先生、陆先生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w:t>
      </w:r>
      <w:r>
        <w:rPr>
          <w:rFonts w:hint="eastAsia" w:ascii="宋体" w:hAnsi="宋体" w:eastAsia="宋体"/>
          <w:bCs/>
          <w:sz w:val="24"/>
          <w:szCs w:val="24"/>
        </w:rPr>
        <w:t xml:space="preserve">7、19850429971 </w:t>
      </w:r>
      <w:r/>
    </w:p>
    <w:p>
      <w:pPr>
        <w:ind w:right="840" w:firstLine="530"/>
        <w:jc w:val="center"/>
        <w:spacing w:line="360" w:lineRule="auto"/>
        <w:widowControl/>
        <w:rPr>
          <w:rFonts w:hint="eastAsia" w:cs="仿宋" w:asciiTheme="minorEastAsia" w:hAnsiTheme="minorEastAsia" w:eastAsiaTheme="minorEastAsia"/>
          <w:b/>
          <w:szCs w:val="22"/>
        </w:rPr>
      </w:pPr>
      <w:r>
        <w:rPr>
          <w:rFonts w:hint="eastAsia" w:cs="仿宋" w:asciiTheme="minorEastAsia" w:hAnsiTheme="minorEastAsia" w:eastAsiaTheme="minorEastAsia"/>
          <w:b/>
          <w:szCs w:val="22"/>
        </w:rPr>
      </w:r>
      <w:r/>
    </w:p>
    <w:p>
      <w:pPr>
        <w:jc w:val="center"/>
        <w:spacing w:line="500" w:lineRule="exact"/>
        <w:widowControl/>
        <w:rPr>
          <w:rFonts w:hint="eastAsia" w:cs="仿宋" w:asciiTheme="minorEastAsia" w:hAnsiTheme="minorEastAsia" w:eastAsiaTheme="minorEastAsia"/>
          <w:b/>
          <w:sz w:val="32"/>
          <w:szCs w:val="32"/>
        </w:rPr>
      </w:pPr>
      <w:r>
        <w:rPr>
          <w:rFonts w:cs="仿宋" w:asciiTheme="minorEastAsia" w:hAnsiTheme="minorEastAsia" w:eastAsiaTheme="minorEastAsia"/>
          <w:b/>
          <w:sz w:val="32"/>
          <w:szCs w:val="32"/>
        </w:rPr>
        <w:br w:type="page" w:clear="all"/>
      </w:r>
      <w:r/>
    </w:p>
    <w:p>
      <w:pPr>
        <w:jc w:val="center"/>
        <w:spacing w:line="500" w:lineRule="exact"/>
        <w:widowControl/>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精神科专用设备</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szCs w:val="21"/>
              </w:rPr>
            </w:pPr>
            <w:r>
              <w:rPr>
                <w:rFonts w:hint="eastAsia" w:cs="仿宋" w:asciiTheme="minorEastAsia" w:hAnsiTheme="minorEastAsia" w:eastAsiaTheme="minorEastAsia"/>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交货期：合同签订后一个月内 </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iCs/>
                <w:sz w:val="24"/>
                <w:szCs w:val="24"/>
              </w:rPr>
              <w:t xml:space="preserve">预算金额：</w:t>
            </w:r>
            <w:r>
              <w:rPr>
                <w:rFonts w:hint="eastAsia" w:cs="仿宋" w:asciiTheme="minorEastAsia" w:hAnsiTheme="minorEastAsia" w:eastAsiaTheme="minorEastAsia"/>
                <w:iCs/>
                <w:sz w:val="24"/>
                <w:szCs w:val="24"/>
              </w:rPr>
              <w:t xml:space="preserve">8</w:t>
            </w:r>
            <w:r>
              <w:rPr>
                <w:rFonts w:cs="仿宋" w:asciiTheme="minorEastAsia" w:hAnsiTheme="minorEastAsia" w:eastAsiaTheme="minorEastAsia"/>
                <w:iCs/>
                <w:sz w:val="24"/>
                <w:szCs w:val="24"/>
              </w:rPr>
              <w:t xml:space="preserve">4</w:t>
            </w:r>
            <w:r>
              <w:rPr>
                <w:rFonts w:hint="eastAsia" w:cs="仿宋" w:asciiTheme="minorEastAsia" w:hAnsiTheme="minorEastAsia" w:eastAsiaTheme="minorEastAsia"/>
                <w:sz w:val="24"/>
                <w:szCs w:val="24"/>
              </w:rPr>
              <w:t xml:space="preserve">万元</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iCs/>
                <w:sz w:val="24"/>
                <w:szCs w:val="24"/>
              </w:rPr>
              <w:t xml:space="preserve">最高限价：</w:t>
            </w:r>
            <w:r>
              <w:rPr>
                <w:rFonts w:hint="eastAsia" w:cs="仿宋" w:asciiTheme="minorEastAsia" w:hAnsiTheme="minorEastAsia" w:eastAsiaTheme="minorEastAsia"/>
                <w:iCs/>
                <w:sz w:val="24"/>
                <w:szCs w:val="24"/>
              </w:rPr>
              <w:t xml:space="preserve">8</w:t>
            </w:r>
            <w:r>
              <w:rPr>
                <w:rFonts w:cs="仿宋" w:asciiTheme="minorEastAsia" w:hAnsiTheme="minorEastAsia" w:eastAsiaTheme="minorEastAsia"/>
                <w:iCs/>
                <w:sz w:val="24"/>
                <w:szCs w:val="24"/>
              </w:rPr>
              <w:t xml:space="preserve">4</w:t>
            </w:r>
            <w:r>
              <w:rPr>
                <w:rFonts w:hint="eastAsia" w:cs="仿宋" w:asciiTheme="minorEastAsia" w:hAnsiTheme="minorEastAsia" w:eastAsiaTheme="minorEastAsia"/>
                <w:sz w:val="24"/>
                <w:szCs w:val="24"/>
              </w:rPr>
              <w:t xml:space="preserve">万元</w:t>
            </w:r>
            <w:r/>
          </w:p>
          <w:p>
            <w:pPr>
              <w:rPr>
                <w:rFonts w:hint="eastAsia" w:cs="仿宋" w:asciiTheme="minorEastAsia" w:hAnsiTheme="minorEastAsia" w:eastAsiaTheme="minorEastAsia"/>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69"/>
              <w:numPr>
                <w:ilvl w:val="0"/>
                <w:numId w:val="1"/>
              </w:numPr>
              <w:rPr>
                <w:rFonts w:hint="eastAsia" w:cs="仿宋" w:asciiTheme="minorEastAsia" w:hAnsiTheme="minorEastAsia" w:eastAsiaTheme="minorEastAsia"/>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MS Mincho" w:cs="MS Mincho"/>
              </w:rPr>
              <w:t xml:space="preserve">☑</w:t>
            </w:r>
            <w:r>
              <w:rPr>
                <w:rFonts w:hint="eastAsia" w:cs="仿宋" w:asciiTheme="minorEastAsia" w:hAnsiTheme="minorEastAsia" w:eastAsiaTheme="minorEastAsia"/>
                <w:sz w:val="24"/>
                <w:szCs w:val="24"/>
              </w:rPr>
              <w:t xml:space="preserve">不组织，自行勘察;如投标人需自行勘察,费用自理。</w:t>
            </w:r>
            <w:r/>
          </w:p>
          <w:p>
            <w:pPr>
              <w:pStyle w:val="869"/>
              <w:numPr>
                <w:ilvl w:val="0"/>
                <w:numId w:val="1"/>
              </w:num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组织，勘察时间： 年月日时</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集合地点：</w:t>
            </w:r>
            <w:r/>
          </w:p>
          <w:p>
            <w:pPr>
              <w:ind w:firstLine="975"/>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MS Mincho" w:cs="MS Mincho"/>
              </w:rPr>
              <w:t xml:space="preserve">☑</w:t>
            </w:r>
            <w:r>
              <w:rPr>
                <w:rFonts w:hint="eastAsia" w:cs="仿宋" w:asciiTheme="minorEastAsia" w:hAnsiTheme="minorEastAsia" w:eastAsiaTheme="minorEastAsia"/>
                <w:sz w:val="24"/>
                <w:szCs w:val="24"/>
              </w:rPr>
              <w:t xml:space="preserve">不召开</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口召开，召开时间：年月日时</w:t>
            </w:r>
            <w:r/>
          </w:p>
          <w:p>
            <w:pPr>
              <w:ind w:firstLine="975"/>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rPr>
                <w:rFonts w:cs="仿宋" w:asciiTheme="minorEastAsia" w:hAnsiTheme="minorEastAsia" w:eastAsiaTheme="minorEastAsia"/>
                <w:sz w:val="24"/>
                <w:szCs w:val="24"/>
                <w:u w:val="single"/>
              </w:rPr>
              <w:t xml:space="preserve">9</w:t>
            </w:r>
            <w:r>
              <w:rPr>
                <w:rFonts w:hint="eastAsia" w:cs="仿宋" w:asciiTheme="minorEastAsia" w:hAnsiTheme="minorEastAsia" w:eastAsiaTheme="minorEastAsia"/>
                <w:sz w:val="24"/>
                <w:szCs w:val="24"/>
                <w:u w:val="single"/>
              </w:rPr>
              <w:t xml:space="preserve">0 </w:t>
            </w:r>
            <w:r>
              <w:rPr>
                <w:rFonts w:hint="eastAsia" w:cs="仿宋" w:asciiTheme="minorEastAsia" w:hAnsiTheme="minorEastAsia" w:eastAsiaTheme="minorEastAsia"/>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u w:val="single"/>
              </w:rPr>
              <w:t xml:space="preserve"> 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日1</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时</w:t>
            </w:r>
            <w:r>
              <w:rPr>
                <w:rFonts w:hint="eastAsia" w:cs="仿宋" w:asciiTheme="minorEastAsia" w:hAnsiTheme="minorEastAsia" w:eastAsiaTheme="minorEastAsia"/>
                <w:sz w:val="24"/>
                <w:szCs w:val="24"/>
              </w:rPr>
              <w:t xml:space="preserve">0</w:t>
            </w:r>
            <w:r>
              <w:rPr>
                <w:rFonts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494"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u w:val="single"/>
              </w:rPr>
              <w:t xml:space="preserve"> 202</w:t>
            </w:r>
            <w:r>
              <w:rPr>
                <w:rFonts w:hint="eastAsia" w:cs="仿宋" w:asciiTheme="minorEastAsia" w:hAnsiTheme="minorEastAsia" w:eastAsiaTheme="minorEastAsia"/>
                <w:sz w:val="24"/>
                <w:szCs w:val="24"/>
                <w:u w:val="single"/>
              </w:rPr>
              <w:t xml:space="preserve">6</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日1</w:t>
            </w: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时</w:t>
            </w:r>
            <w:r>
              <w:rPr>
                <w:rFonts w:hint="eastAsia"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分</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ascii="MS Mincho" w:hAnsi="MS Mincho" w:eastAsia="宋体" w:cs="MS Mincho"/>
              </w:rPr>
              <w:t xml:space="preserve">☑</w:t>
            </w:r>
            <w:r>
              <w:rPr>
                <w:rFonts w:hint="eastAsia" w:cs="仿宋" w:asciiTheme="minorEastAsia" w:hAnsiTheme="minorEastAsia" w:eastAsiaTheme="minorEastAsia"/>
                <w:sz w:val="24"/>
                <w:szCs w:val="24"/>
              </w:rPr>
              <w:t xml:space="preserve">不提交，招标文件中有关履约保证金的规定均不适用</w:t>
            </w:r>
            <w:r/>
          </w:p>
          <w:p>
            <w:pPr>
              <w:pStyle w:val="869"/>
              <w:ind w:firstLine="0"/>
              <w:rPr>
                <w:rFonts w:hint="eastAsia" w:cs="仿宋" w:asciiTheme="minorEastAsia" w:hAnsiTheme="minorEastAsia" w:eastAsiaTheme="minorEastAsia"/>
                <w:sz w:val="24"/>
                <w:szCs w:val="24"/>
              </w:rPr>
            </w:pPr>
            <w:r>
              <w:rPr>
                <w:rFonts w:hint="eastAsia" w:ascii="MS Mincho" w:hAnsi="MS Mincho" w:eastAsia="宋体" w:cs="MS Mincho"/>
              </w:rPr>
              <w:t xml:space="preserve">□</w:t>
            </w:r>
            <w:r>
              <w:rPr>
                <w:rFonts w:hint="eastAsia" w:cs="仿宋" w:asciiTheme="minorEastAsia" w:hAnsiTheme="minorEastAsia" w:eastAsiaTheme="minorEastAsia"/>
                <w:sz w:val="24"/>
                <w:szCs w:val="24"/>
              </w:rPr>
              <w:t xml:space="preserve">提交</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金额：中标价的/% </w:t>
            </w:r>
            <w:r/>
          </w:p>
          <w:p>
            <w:pPr>
              <w:pStyle w:val="1015"/>
              <w:ind w:firstLine="0"/>
              <w:rPr>
                <w:rFonts w:hint="eastAsia" w:cs="仿宋" w:asciiTheme="minorEastAsia" w:hAnsiTheme="minorEastAsia" w:eastAsiaTheme="minorEastAsia"/>
              </w:rPr>
            </w:pPr>
            <w:r>
              <w:rPr>
                <w:rFonts w:hint="eastAsia" w:cs="仿宋" w:asciiTheme="minorEastAsia" w:hAnsiTheme="minorEastAsia" w:eastAsiaTheme="minorEastAsia"/>
                <w:szCs w:val="24"/>
              </w:rPr>
              <w:t xml:space="preserve">形式：保证保险、保函、电汇、转账、汇票、支票、本票等非现金形式</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提交时间：收到中标通知书后签订合同前。</w:t>
            </w:r>
            <w:r/>
          </w:p>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中标通知书发出之日起</w:t>
            </w:r>
            <w:r>
              <w:rPr>
                <w:rFonts w:hint="eastAsia" w:cs="仿宋" w:asciiTheme="minorEastAsia" w:hAnsiTheme="minorEastAsia" w:eastAsiaTheme="minorEastAsia"/>
                <w:sz w:val="24"/>
                <w:szCs w:val="24"/>
                <w:u w:val="single"/>
              </w:rPr>
              <w:t xml:space="preserve"> 30 </w:t>
            </w:r>
            <w:r>
              <w:rPr>
                <w:rFonts w:hint="eastAsia" w:cs="仿宋" w:asciiTheme="minorEastAsia" w:hAnsiTheme="minorEastAsia" w:eastAsiaTheme="minorEastAsia"/>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合同签订后货到安装验收合格后支付合同总金额的9</w:t>
            </w:r>
            <w:r>
              <w:rPr>
                <w:rFonts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，安装验收满一年后付清</w:t>
            </w:r>
            <w:r>
              <w:rPr>
                <w:rFonts w:cs="仿宋" w:asciiTheme="minorEastAsia" w:hAnsiTheme="minorEastAsia" w:eastAsiaTheme="minorEastAsia"/>
                <w:sz w:val="24"/>
                <w:szCs w:val="24"/>
              </w:rPr>
              <w:t xml:space="preserve">10%</w:t>
            </w:r>
            <w:r>
              <w:rPr>
                <w:rFonts w:hint="eastAsia" w:cs="仿宋" w:asciiTheme="minorEastAsia" w:hAnsiTheme="minorEastAsia" w:eastAsiaTheme="minorEastAsia"/>
                <w:sz w:val="24"/>
                <w:szCs w:val="24"/>
              </w:rPr>
              <w:t xml:space="preserve">余款。</w:t>
            </w:r>
            <w:r/>
          </w:p>
        </w:tc>
      </w:tr>
      <w:tr>
        <w:trPr>
          <w:jc w:val="center"/>
          <w:trHeight w:val="77"/>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中标服务费</w:t>
            </w:r>
            <w:r/>
          </w:p>
        </w:tc>
        <w:tc>
          <w:tcPr>
            <w:tcW w:w="6249" w:type="dxa"/>
            <w:textDirection w:val="lrTb"/>
            <w:noWrap w:val="false"/>
          </w:tcPr>
          <w:p>
            <w:pPr>
              <w:ind w:firstLine="420"/>
              <w:spacing w:line="360" w:lineRule="auto"/>
              <w:rPr>
                <w:rFonts w:hint="eastAsia" w:ascii="宋体" w:hAnsi="宋体" w:eastAsia="宋体"/>
                <w:bCs/>
                <w:sz w:val="24"/>
                <w:szCs w:val="24"/>
              </w:rPr>
            </w:pPr>
            <w:r>
              <w:rPr>
                <w:rFonts w:hint="eastAsia" w:ascii="宋体" w:hAnsi="宋体" w:eastAsia="宋体"/>
                <w:b/>
                <w:bCs/>
                <w:sz w:val="24"/>
                <w:szCs w:val="24"/>
              </w:rPr>
              <w:t xml:space="preserve">领取中标通知书前</w:t>
            </w:r>
            <w:r>
              <w:rPr>
                <w:rFonts w:hint="eastAsia" w:ascii="宋体" w:hAnsi="宋体" w:eastAsia="宋体"/>
                <w:bCs/>
                <w:sz w:val="24"/>
                <w:szCs w:val="24"/>
              </w:rPr>
              <w:t xml:space="preserve">，中标供应商需</w:t>
            </w:r>
            <w:bookmarkStart w:id="33" w:name="_Hlk144458186"/>
            <w:r>
              <w:rPr>
                <w:rFonts w:hint="eastAsia" w:ascii="宋体" w:hAnsi="宋体" w:eastAsia="宋体"/>
                <w:sz w:val="24"/>
                <w:szCs w:val="24"/>
              </w:rPr>
              <w:t xml:space="preserve">按照江苏省政府采购协会《关于印发(江苏省政府采购代理服务收费指导意见〉的通知》(苏</w:t>
            </w:r>
            <w:r>
              <w:rPr>
                <w:rFonts w:hint="eastAsia" w:ascii="宋体" w:hAnsi="宋体" w:eastAsia="宋体"/>
                <w:sz w:val="24"/>
                <w:szCs w:val="24"/>
              </w:rPr>
              <w:t xml:space="preserve">政采协</w:t>
            </w:r>
            <w:r>
              <w:rPr>
                <w:rFonts w:hint="eastAsia" w:ascii="宋体" w:hAnsi="宋体" w:eastAsia="宋体"/>
                <w:sz w:val="24"/>
                <w:szCs w:val="24"/>
              </w:rPr>
              <w:t xml:space="preserve">(2024</w:t>
            </w:r>
            <w:r>
              <w:rPr>
                <w:rFonts w:hint="eastAsia" w:ascii="宋体" w:hAnsi="宋体" w:eastAsia="宋体"/>
                <w:sz w:val="24"/>
                <w:szCs w:val="24"/>
              </w:rPr>
              <w:t xml:space="preserve">〕</w:t>
            </w:r>
            <w:r>
              <w:rPr>
                <w:rFonts w:hint="eastAsia" w:ascii="宋体" w:hAnsi="宋体" w:eastAsia="宋体"/>
                <w:sz w:val="24"/>
                <w:szCs w:val="24"/>
              </w:rPr>
              <w:t xml:space="preserve">20号)</w:t>
            </w:r>
            <w:r>
              <w:rPr>
                <w:rFonts w:ascii="宋体" w:hAnsi="宋体" w:eastAsia="宋体"/>
                <w:sz w:val="24"/>
                <w:szCs w:val="24"/>
              </w:rPr>
              <w:t xml:space="preserve">文件规定的收费</w:t>
            </w:r>
            <w:r>
              <w:rPr>
                <w:rFonts w:hint="eastAsia" w:ascii="宋体" w:hAnsi="宋体" w:eastAsia="宋体"/>
                <w:sz w:val="24"/>
                <w:szCs w:val="24"/>
              </w:rPr>
              <w:t xml:space="preserve">标准</w:t>
            </w:r>
            <w:r>
              <w:rPr>
                <w:rFonts w:hint="eastAsia" w:ascii="宋体" w:hAnsi="宋体" w:eastAsia="宋体"/>
                <w:bCs/>
                <w:sz w:val="24"/>
                <w:szCs w:val="24"/>
              </w:rPr>
              <w:t xml:space="preserve">，向采购代理机构一次性缴纳代理服务费，</w:t>
            </w:r>
            <w:bookmarkEnd w:id="33"/>
            <w:r>
              <w:rPr>
                <w:rFonts w:hint="eastAsia" w:ascii="宋体" w:hAnsi="宋体" w:eastAsia="宋体"/>
                <w:bCs/>
                <w:sz w:val="24"/>
                <w:szCs w:val="24"/>
              </w:rPr>
              <w:t xml:space="preserve">需备注</w:t>
            </w:r>
            <w:r>
              <w:rPr>
                <w:rFonts w:hint="eastAsia" w:ascii="宋体" w:hAnsi="宋体" w:eastAsia="宋体"/>
                <w:bCs/>
                <w:color w:val="000000"/>
                <w:sz w:val="24"/>
                <w:szCs w:val="24"/>
              </w:rPr>
              <w:t xml:space="preserve">2</w:t>
            </w:r>
            <w:r>
              <w:rPr>
                <w:rFonts w:ascii="宋体" w:hAnsi="宋体" w:eastAsia="宋体"/>
                <w:bCs/>
                <w:color w:val="000000"/>
                <w:sz w:val="24"/>
                <w:szCs w:val="24"/>
              </w:rPr>
              <w:t xml:space="preserve">5</w:t>
            </w:r>
            <w:r>
              <w:rPr>
                <w:rFonts w:hint="eastAsia" w:ascii="宋体" w:hAnsi="宋体" w:eastAsia="宋体"/>
                <w:bCs/>
                <w:color w:val="000000"/>
                <w:sz w:val="24"/>
                <w:szCs w:val="24"/>
              </w:rPr>
              <w:t xml:space="preserve">0-0</w:t>
            </w:r>
            <w:r>
              <w:rPr>
                <w:rFonts w:ascii="宋体" w:hAnsi="宋体" w:eastAsia="宋体"/>
                <w:bCs/>
                <w:color w:val="000000"/>
                <w:sz w:val="24"/>
                <w:szCs w:val="24"/>
              </w:rPr>
              <w:t xml:space="preserve">1637</w:t>
            </w:r>
            <w:r>
              <w:rPr>
                <w:rFonts w:ascii="宋体" w:hAnsi="宋体" w:eastAsia="宋体"/>
                <w:bCs/>
                <w:color w:val="000000"/>
                <w:sz w:val="24"/>
                <w:szCs w:val="24"/>
              </w:rPr>
              <w:t xml:space="preserve">1</w:t>
            </w:r>
            <w:r>
              <w:rPr>
                <w:rFonts w:hint="eastAsia" w:ascii="宋体" w:hAnsi="宋体" w:eastAsia="宋体"/>
                <w:bCs/>
                <w:sz w:val="24"/>
                <w:szCs w:val="24"/>
              </w:rPr>
              <w:t xml:space="preserve">代理服务费。</w:t>
            </w:r>
            <w:r/>
          </w:p>
          <w:p>
            <w:pPr>
              <w:jc w:val="center"/>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0" w:type="auto"/>
              <w:jc w:val="center"/>
              <w:tblLook w:val="04A0" w:firstRow="1" w:lastRow="0" w:firstColumn="1" w:lastColumn="0" w:noHBand="0" w:noVBand="1"/>
            </w:tblPr>
            <w:tblGrid>
              <w:gridCol w:w="3636"/>
              <w:gridCol w:w="996"/>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ind w:firstLine="360"/>
              <w:spacing w:line="360" w:lineRule="auto"/>
              <w:rPr>
                <w:rFonts w:hint="eastAsia" w:ascii="宋体" w:hAnsi="宋体" w:eastAsia="宋体"/>
                <w:bCs/>
                <w:sz w:val="24"/>
                <w:szCs w:val="24"/>
              </w:rPr>
            </w:pPr>
            <w:r>
              <w:rPr>
                <w:rFonts w:hint="eastAsia" w:ascii="宋体" w:hAnsi="宋体" w:eastAsia="宋体"/>
                <w:bCs/>
                <w:sz w:val="24"/>
                <w:szCs w:val="24"/>
              </w:rPr>
              <w:t xml:space="preserve">银行信息：</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户名：江苏海外集团国际工程咨询有限公司</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开户银行：交行江苏省分行营业部</w:t>
            </w:r>
            <w:r/>
          </w:p>
          <w:p>
            <w:pPr>
              <w:ind w:firstLine="420"/>
              <w:spacing w:line="360" w:lineRule="auto"/>
              <w:rPr>
                <w:rFonts w:eastAsia="宋体"/>
                <w:sz w:val="21"/>
                <w:szCs w:val="21"/>
              </w:rPr>
            </w:pPr>
            <w:r>
              <w:rPr>
                <w:rFonts w:hint="eastAsia" w:ascii="宋体" w:hAnsi="宋体" w:eastAsia="宋体"/>
                <w:bCs/>
                <w:sz w:val="24"/>
                <w:szCs w:val="24"/>
              </w:rPr>
              <w:t xml:space="preserve">账号：320006607010141124109</w:t>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其他</w:t>
            </w:r>
            <w:r/>
          </w:p>
        </w:tc>
        <w:tc>
          <w:tcPr>
            <w:tcW w:w="6249" w:type="dxa"/>
            <w:vAlign w:val="center"/>
            <w:textDirection w:val="lrTb"/>
            <w:noWrap w:val="false"/>
          </w:tcPr>
          <w:p>
            <w:pPr>
              <w:pStyle w:val="1015"/>
              <w:ind w:firstLine="0"/>
              <w:rPr>
                <w:rFonts w:hint="eastAsia" w:cs="仿宋" w:asciiTheme="minorEastAsia" w:hAnsiTheme="minorEastAsia" w:eastAsiaTheme="minorEastAsia"/>
                <w:b/>
                <w:bCs/>
                <w:szCs w:val="24"/>
              </w:rPr>
            </w:pPr>
            <w:r>
              <w:rPr>
                <w:rFonts w:hint="eastAsia" w:cs="仿宋" w:asciiTheme="minorEastAsia" w:hAnsiTheme="minorEastAsia" w:eastAsiaTheme="minorEastAsia"/>
                <w:b/>
                <w:bCs/>
                <w:szCs w:val="24"/>
              </w:rPr>
              <w:t xml:space="preserve">投标文件的制作要求</w:t>
            </w:r>
            <w:r/>
          </w:p>
          <w:p>
            <w:pPr>
              <w:pStyle w:val="1015"/>
              <w:ind w:firstLine="240"/>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本次采购采用“苏采云”系统进行政府采购活动。</w:t>
            </w:r>
            <w:r/>
          </w:p>
          <w:p>
            <w:pPr>
              <w:pStyle w:val="1015"/>
              <w:ind w:firstLine="240"/>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投标人如确定参加投标，可自行下载招标文件及有关资料，按</w:t>
            </w:r>
            <w:r>
              <w:rPr>
                <w:rFonts w:hint="eastAsia" w:cs="仿宋" w:asciiTheme="minorEastAsia" w:hAnsiTheme="minorEastAsia" w:eastAsiaTheme="minorEastAsia"/>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一、说明和释义</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1.说明  </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1.1本招标文件仅适用于本采购项目的招标、投标、评审、确定中标单位、验收、合同履约、付款等（法律、法规另有规定的，从其规定）。</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1.2本次招标活动及因本次招标产生的合同受中国法律制约和保护。</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1.3本招标文件的解释权属于采购人（代理机构）。</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2.词语释义</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2.1采购人：指依法进行采购的国家机关、事业单位、团体组织。</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2.8天：日历天。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二、投标人</w:t>
      </w:r>
      <w:r/>
    </w:p>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3.合格投标人资格要求</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3.1详见投标人须知前附表规定。</w:t>
      </w:r>
      <w:r/>
    </w:p>
    <w:p>
      <w:pPr>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
          <w:sz w:val="24"/>
          <w:szCs w:val="24"/>
        </w:rPr>
        <w:t xml:space="preserve">4.</w:t>
      </w:r>
      <w:r>
        <w:rPr>
          <w:rFonts w:hint="eastAsia" w:cs="仿宋" w:asciiTheme="minorEastAsia" w:hAnsiTheme="minorEastAsia" w:eastAsiaTheme="minorEastAsia"/>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5.投标人代表</w:t>
      </w:r>
      <w:r/>
    </w:p>
    <w:p>
      <w:pPr>
        <w:ind w:firstLine="36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6.不接受联合体投标。</w:t>
      </w:r>
      <w:r/>
    </w:p>
    <w:p>
      <w:pPr>
        <w:jc w:val="left"/>
        <w:spacing w:line="360" w:lineRule="auto"/>
        <w:widowControl/>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（9）违反法律法规相关规定的。</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三、招标文件说明</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8.招标文件</w:t>
      </w:r>
      <w:r/>
    </w:p>
    <w:p>
      <w:pPr>
        <w:ind w:firstLine="50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投标人同时应认真审阅招标文件中所有的事项、格式、条款和规范要求等，</w:t>
      </w:r>
      <w:r>
        <w:rPr>
          <w:rFonts w:hint="eastAsia" w:cs="仿宋" w:asciiTheme="minorEastAsia" w:hAnsiTheme="minorEastAsia" w:eastAsiaTheme="minorEastAsia"/>
          <w:sz w:val="24"/>
          <w:szCs w:val="24"/>
        </w:rPr>
        <w:t xml:space="preserve">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9.现场勘察 </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9.1投标人应按</w:t>
      </w:r>
      <w:r>
        <w:rPr>
          <w:rFonts w:hint="eastAsia" w:cs="仿宋" w:asciiTheme="minorEastAsia" w:hAnsiTheme="minorEastAsia" w:eastAsiaTheme="minorEastAsia"/>
          <w:bCs/>
          <w:sz w:val="24"/>
          <w:szCs w:val="24"/>
        </w:rPr>
        <w:t xml:space="preserve">招标文件中所述时间</w:t>
      </w:r>
      <w:r>
        <w:rPr>
          <w:rFonts w:hint="eastAsia" w:cs="仿宋" w:asciiTheme="minorEastAsia" w:hAnsiTheme="minorEastAsia" w:eastAsiaTheme="minorEastAsia"/>
          <w:sz w:val="24"/>
          <w:szCs w:val="24"/>
        </w:rPr>
        <w:t xml:space="preserve">对有关现场和周围环境进行勘察，以获取编制投标文件和签署合同所需的信息。勘察现场所发生的费用由投标人自己承担。</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5"/>
        <w:ind w:firstLine="480"/>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5"/>
        <w:ind w:firstLine="480"/>
        <w:jc w:val="both"/>
        <w:spacing w:line="360" w:lineRule="auto"/>
        <w:rPr>
          <w:rFonts w:hint="eastAsia" w:cs="仿宋" w:asciiTheme="minorEastAsia" w:hAnsiTheme="minorEastAsia" w:eastAsiaTheme="minorEastAsia"/>
          <w:b/>
          <w:szCs w:val="24"/>
        </w:rPr>
      </w:pPr>
      <w:r>
        <w:rPr>
          <w:rFonts w:hint="eastAsia" w:cs="仿宋" w:asciiTheme="minorEastAsia" w:hAnsiTheme="minorEastAsia" w:eastAsiaTheme="minorEastAsia"/>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10.招标文件的澄清和修改</w:t>
      </w:r>
      <w:r/>
    </w:p>
    <w:p>
      <w:pPr>
        <w:ind w:firstLine="488"/>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四、投标文件说明</w:t>
      </w:r>
      <w:r/>
    </w:p>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11.投标文件计量单位和使用文字</w:t>
      </w:r>
      <w:r/>
    </w:p>
    <w:p>
      <w:pPr>
        <w:pStyle w:val="1015"/>
        <w:ind w:firstLine="509"/>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14"/>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w:t>
      </w:r>
      <w:bookmarkStart w:id="34" w:name="_Toc217446047"/>
      <w:r>
        <w:rPr>
          <w:rFonts w:hint="eastAsia" w:cs="仿宋" w:asciiTheme="minorEastAsia" w:hAnsiTheme="minorEastAsia" w:eastAsiaTheme="minorEastAsia"/>
          <w:b/>
          <w:sz w:val="24"/>
          <w:szCs w:val="24"/>
        </w:rPr>
        <w:t xml:space="preserve">2.知识产权</w:t>
      </w:r>
      <w:bookmarkEnd w:id="34"/>
      <w:r/>
      <w:r/>
    </w:p>
    <w:p>
      <w:pPr>
        <w:pStyle w:val="1015"/>
        <w:ind w:firstLine="509"/>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资格、资信证明文件：</w:t>
      </w:r>
      <w:r/>
    </w:p>
    <w:p>
      <w:pPr>
        <w:pStyle w:val="869"/>
        <w:numPr>
          <w:ilvl w:val="1"/>
          <w:numId w:val="2"/>
        </w:numPr>
        <w:ind w:left="0" w:firstLine="567"/>
        <w:spacing w:line="360" w:lineRule="auto"/>
        <w:tabs>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资格证明文件（格式见附件）</w:t>
      </w:r>
      <w:r/>
    </w:p>
    <w:p>
      <w:pPr>
        <w:pStyle w:val="869"/>
        <w:numPr>
          <w:ilvl w:val="1"/>
          <w:numId w:val="2"/>
        </w:numPr>
        <w:ind w:left="0" w:firstLine="567"/>
        <w:spacing w:line="360" w:lineRule="auto"/>
        <w:tabs>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rPr>
      </w:pPr>
      <w:r>
        <w:rPr>
          <w:rFonts w:hint="eastAsia" w:cs="仿宋" w:asciiTheme="minorEastAsia" w:hAnsiTheme="minorEastAsia" w:eastAsiaTheme="minorEastAsia"/>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sz w:val="24"/>
          <w:u w:val="single"/>
        </w:rPr>
      </w:pPr>
      <w:r>
        <w:rPr>
          <w:rFonts w:hint="eastAsia" w:cs="仿宋" w:asciiTheme="minorEastAsia" w:hAnsiTheme="minorEastAsia" w:eastAsiaTheme="minorEastAsia"/>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14.投标文件编制及递交要求</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14.1所有文件、往来函件均应使用</w:t>
      </w:r>
      <w:r>
        <w:rPr>
          <w:rFonts w:hint="eastAsia" w:cs="仿宋" w:asciiTheme="minorEastAsia" w:hAnsiTheme="minorEastAsia" w:eastAsiaTheme="minorEastAsia"/>
          <w:b/>
          <w:bCs/>
          <w:sz w:val="24"/>
          <w:szCs w:val="24"/>
        </w:rPr>
        <w:t xml:space="preserve">简体中文</w:t>
      </w:r>
      <w:r>
        <w:rPr>
          <w:rFonts w:hint="eastAsia" w:cs="仿宋" w:asciiTheme="minorEastAsia" w:hAnsiTheme="minorEastAsia" w:eastAsiaTheme="minorEastAsia"/>
          <w:sz w:val="24"/>
          <w:szCs w:val="24"/>
        </w:rPr>
        <w:t xml:space="preserve">（规格、型号辅助符号例外）。</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14.5投标费用自理。</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15.投标报价（编制）要求的说明</w:t>
      </w:r>
      <w:r/>
    </w:p>
    <w:p>
      <w:pPr>
        <w:pStyle w:val="1015"/>
        <w:ind w:firstLine="505"/>
        <w:jc w:val="both"/>
        <w:spacing w:line="360" w:lineRule="auto"/>
        <w:rPr>
          <w:rFonts w:hint="eastAsia" w:cs="仿宋" w:asciiTheme="minorEastAsia" w:hAnsiTheme="minorEastAsia" w:eastAsiaTheme="minorEastAsia"/>
          <w:b/>
          <w:bCs/>
          <w:szCs w:val="24"/>
        </w:rPr>
      </w:pPr>
      <w:r>
        <w:rPr>
          <w:rFonts w:hint="eastAsia" w:cs="仿宋" w:asciiTheme="minorEastAsia" w:hAnsiTheme="minorEastAsia" w:eastAsiaTheme="minorEastAsia"/>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15"/>
        <w:ind w:firstLine="50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投标人要认真阅读清单，慎重报价。采购人不再支付报价以外的任何费用。</w:t>
      </w:r>
      <w:r/>
    </w:p>
    <w:p>
      <w:pPr>
        <w:pStyle w:val="1015"/>
        <w:ind w:firstLine="50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15.2投标人应对招标文件内所要采购的全部内容进行报价，只投其中部分内容者，其标书将被拒绝。</w:t>
      </w:r>
      <w:r/>
    </w:p>
    <w:p>
      <w:pPr>
        <w:pStyle w:val="1015"/>
        <w:ind w:firstLine="50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15.3一项投标内容只允许一个报价，招标采购单位不接受任何有选择性的投标报价。</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16.投标保证金</w:t>
      </w:r>
      <w:r/>
    </w:p>
    <w:p>
      <w:pPr>
        <w:pStyle w:val="859"/>
        <w:ind w:firstLine="480"/>
        <w:keepLines w:val="0"/>
        <w:keepNext w:val="0"/>
        <w:spacing w:before="0" w:after="0" w:line="360" w:lineRule="auto"/>
        <w:rPr>
          <w:rFonts w:hint="eastAsia"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17.投标文件的有效期</w:t>
      </w:r>
      <w:r/>
    </w:p>
    <w:p>
      <w:pPr>
        <w:ind w:firstLine="50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18.投标文件的拒收</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五、投标文件的递交</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19.投标文件的递交</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19.1电子投标文件的递交</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20.投标截止日期</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21.投标文件的修改和撤回</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21.1投标文件的撤回</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 投标文件的修改</w:t>
      </w:r>
      <w:r/>
    </w:p>
    <w:p>
      <w:pPr>
        <w:ind w:firstLine="426"/>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六、开标和评标</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23.评标委员会</w:t>
      </w:r>
      <w:r>
        <w:rPr>
          <w:rFonts w:hint="eastAsia" w:cs="仿宋" w:asciiTheme="minorEastAsia" w:hAnsiTheme="minorEastAsia" w:eastAsiaTheme="minorEastAsia"/>
          <w:b/>
          <w:sz w:val="24"/>
          <w:szCs w:val="24"/>
        </w:rPr>
        <w:tab/>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23.1评标委员会由招标采购单位依法组建，负责本项目的评标事务。</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23.2评标委员会独立履行下列职责：</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23.2.1审查投标文件是否符合招标文件的要求，并作出评价；</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23.2.2可以要求投标供应商对投标文件有关事项作出解释或澄清；</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23.2.3推荐中标候选供应商名单，或者受采购人委托按照事先确定的办法直接确定中标供应商；</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23.2.4向招标采购单位或者有关部门报告非法干预评标工作的行为。</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23.3评标委员会成员应当履行下列义务：</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23.3.1遵纪守法，客观、公正、廉洁地履行职责；</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23.3.2按照招标文件规定的评标办法和评标标准进行评标，对评审意见承担个人责任；</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23.3.3对评标过程和结果，以及投标人的商业秘密保密；</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23.3.4参与评标报告的起草；</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23.3.5配合相关部门的投诉处理工作；</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23.3.6配合招标采购单位答复投标供应商提出的质疑。</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24.评标内容的保密</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24.1公开开标后，直到宣布授予中标人合同为止，凡属于审查、澄清、评价和比较投标的所有资料，有关授予合同的信息都不应向投标人或与评标无关的其他人泄露。</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24.2 在投标文件的审查、澄清、评价和比较以及授予合同的过程中，投标人对招标采购单位和评标委员会成员施加影响的任何行为，都将取消其投标资格。</w:t>
      </w:r>
      <w:r/>
    </w:p>
    <w:p>
      <w:pPr>
        <w:pStyle w:val="1015"/>
        <w:ind w:firstLine="426"/>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25.对投标文件初审</w:t>
      </w:r>
      <w:r/>
    </w:p>
    <w:p>
      <w:pPr>
        <w:pStyle w:val="1015"/>
        <w:ind w:firstLine="488"/>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25.1投标文件初审分为资格性检查和符合性检查。</w:t>
      </w:r>
      <w:r/>
    </w:p>
    <w:p>
      <w:pPr>
        <w:pStyle w:val="1015"/>
        <w:ind w:firstLine="488"/>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26.投标的澄清</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26.1对投标文件中含义不明确</w:t>
      </w:r>
      <w:r>
        <w:rPr>
          <w:rFonts w:hint="eastAsia" w:cs="仿宋" w:asciiTheme="minorEastAsia" w:hAnsiTheme="minorEastAsia" w:eastAsiaTheme="minorEastAsia"/>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27.废标</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4．因重大变故，采购任务取消。</w:t>
      </w:r>
      <w:r/>
    </w:p>
    <w:p>
      <w:pPr>
        <w:ind w:left="485" w:firstLine="85"/>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28.投标文件的评价和比较</w:t>
      </w:r>
      <w:r/>
    </w:p>
    <w:p>
      <w:pPr>
        <w:pStyle w:val="1015"/>
        <w:ind w:firstLine="609"/>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28.1评标委员会按招标文件规定的评标方法和标准，对符合性检查合格的投标文件进行商务和技术评估，综合比较与评价。</w:t>
      </w:r>
      <w:r/>
    </w:p>
    <w:p>
      <w:pPr>
        <w:pStyle w:val="1015"/>
        <w:ind w:firstLine="609"/>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七、授予合同</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29.中标人的确认</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29.2中标无效的确认：</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（1）提供虚假材料谋取中标的；</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（2）采取不正当手段诋毁、排挤其他投标人的；</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（3）与招标采购单位、其他投标人恶意串通的；</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（4）向招标采购单位行贿或者提供其他不正当利益的；</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（5）在招标过程中与招标采购单位进行协商谈判、不按照招标文件和中标供应商的投标文件订立合同，或者与采购人另行订立背离合同实质性内容的协议的；</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（6）拒绝有关部门监督检查或者提供虚假情况的。</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w:t>
      </w:r>
      <w:r>
        <w:rPr>
          <w:rFonts w:hint="eastAsia" w:cs="仿宋" w:asciiTheme="minorEastAsia" w:hAnsiTheme="minorEastAsia" w:eastAsiaTheme="minorEastAsia"/>
          <w:szCs w:val="24"/>
        </w:rPr>
        <w:t xml:space="preserve">业执照；构成犯罪的，依法追究刑事责任。</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29.3经评标委员</w:t>
      </w:r>
      <w:r>
        <w:rPr>
          <w:rFonts w:hint="eastAsia" w:cs="仿宋" w:asciiTheme="minorEastAsia" w:hAnsiTheme="minorEastAsia" w:eastAsiaTheme="minorEastAsia"/>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29.7以下情形的质疑不予受理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（5）供应商对自身提出质疑的。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30.合同授予标准</w:t>
      </w:r>
      <w:r/>
    </w:p>
    <w:p>
      <w:pPr>
        <w:ind w:firstLine="50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31.中标通知书</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31.2中标通知书将成为合同的组成部分。</w:t>
      </w:r>
      <w:r/>
    </w:p>
    <w:p>
      <w:pPr>
        <w:pStyle w:val="1015"/>
        <w:ind w:firstLine="502"/>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sz w:val="24"/>
          <w:szCs w:val="24"/>
        </w:rPr>
        <w:outlineLvl w:val="0"/>
      </w:pPr>
      <w:r>
        <w:rPr>
          <w:rFonts w:hint="eastAsia" w:cs="仿宋" w:asciiTheme="minorEastAsia" w:hAnsiTheme="minorEastAsia" w:eastAsiaTheme="minorEastAsia"/>
          <w:b/>
          <w:sz w:val="24"/>
          <w:szCs w:val="24"/>
        </w:rPr>
        <w:t xml:space="preserve">32.履约保证金</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32.1中标人应按规定提交履约保证金。</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32.2中标人必须在合同签订前按规定将履约保证金交至采购人指定账户。中标人未按上述要求提交履约保证金的,采购人可取消其中标资格。</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33.合同的签订</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33.1中标人应按中标通知书中规定的时间和地点，由法定代表人或委托代理人与采购人代表签订合同。</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34.特别提醒</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34.1投标单位如有提供不实评审材料，弄虚作假者，一律作废标处理，该不良行为将予以公示。</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5"/>
        <w:ind w:firstLine="431"/>
        <w:jc w:val="both"/>
        <w:spacing w:line="360" w:lineRule="auto"/>
        <w:rPr>
          <w:rFonts w:hint="eastAsia" w:cs="仿宋" w:asciiTheme="minorEastAsia" w:hAnsiTheme="minorEastAsia" w:eastAsiaTheme="minorEastAsia"/>
          <w:szCs w:val="24"/>
        </w:rPr>
      </w:pPr>
      <w:r/>
      <w:bookmarkStart w:id="35" w:name="_Toc409438818"/>
      <w:r>
        <w:rPr>
          <w:rFonts w:hint="eastAsia" w:cs="仿宋" w:asciiTheme="minorEastAsia" w:hAnsiTheme="minorEastAsia" w:eastAsiaTheme="minorEastAsia"/>
          <w:szCs w:val="24"/>
        </w:rPr>
        <w:t xml:space="preserve">34.3政府采购线上合同信用融资功能告知提醒</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我区已正式启用“苏采云”系统，目前已全面开通政府采购线上合同信用融资（以下简称“政采贷”）功能。成交供应商可凭政府采购合同在中征平台发起贷款申请贷款。</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34.3.1.“政采贷”业务流程</w:t>
      </w:r>
      <w:r/>
    </w:p>
    <w:p>
      <w:pPr>
        <w:pStyle w:val="1015"/>
        <w:ind w:firstLine="431"/>
        <w:jc w:val="center"/>
        <w:spacing w:line="360" w:lineRule="auto"/>
        <w:rPr>
          <w:rFonts w:hint="eastAsia" w:cs="仿宋" w:asciiTheme="minorEastAsia" w:hAnsiTheme="minorEastAsia" w:eastAsiaTheme="minorEastAsia"/>
          <w:szCs w:val="24"/>
        </w:rPr>
      </w:pPr>
      <w:r>
        <w:rPr>
          <w:rFonts w:cs="仿宋" w:asciiTheme="minorEastAsia" w:hAnsiTheme="minorEastAsia" w:eastAsiaTheme="minorEastAsia"/>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34.3.2.操作流程</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34.3.3.常见问题</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Q1：哪些企业能申请“政采贷”？</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答：江苏省内采用国库集中支付的政府采购项目的中标供应商，可凭政府采购合同申请"</w:t>
      </w:r>
      <w:r>
        <w:rPr>
          <w:rFonts w:hint="eastAsia" w:cs="仿宋" w:asciiTheme="minorEastAsia" w:hAnsiTheme="minorEastAsia" w:eastAsiaTheme="minorEastAsia"/>
          <w:szCs w:val="24"/>
        </w:rPr>
        <w:t xml:space="preserve">政采贷"</w:t>
      </w:r>
      <w:r>
        <w:rPr>
          <w:rFonts w:hint="eastAsia" w:cs="仿宋" w:asciiTheme="minorEastAsia" w:hAnsiTheme="minorEastAsia" w:eastAsiaTheme="minorEastAsia"/>
          <w:szCs w:val="24"/>
        </w:rPr>
        <w:t xml:space="preserve">。</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Q2：供应商在哪里申请“政采贷”？</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答：中标供应商在“中征应收账款融资服务平台”（简称“中征平台”）上向意向银行发起融资申请</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Q3：中标供应商要注意什么？</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答：中标供应商要加强和采购单位的沟通协调，尽早确定融资需求。需要“政采贷”融资的，政府采购合同付款账号应当空置。</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Q4：采购单位要做什么？</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Q5：“政采贷”融资失败怎么办？</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34.3.4.网址及联系方式</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政采贷：http://www.ccgp-jiangsu.gov.cn/jiangsu/paying.html</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中征平台：https://www.crcrfsp.com/</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联系人：翟先生           联系电话：0523-88816349</w:t>
      </w:r>
      <w:r/>
    </w:p>
    <w:p>
      <w:pPr>
        <w:pStyle w:val="1015"/>
        <w:numPr>
          <w:ilvl w:val="0"/>
          <w:numId w:val="3"/>
        </w:numPr>
        <w:ind w:firstLine="431"/>
        <w:jc w:val="both"/>
        <w:spacing w:line="360" w:lineRule="auto"/>
        <w:rPr>
          <w:rFonts w:hint="eastAsia" w:cs="仿宋" w:asciiTheme="minorEastAsia" w:hAnsiTheme="minorEastAsia" w:eastAsiaTheme="minorEastAsia"/>
          <w:b/>
          <w:szCs w:val="24"/>
        </w:rPr>
      </w:pPr>
      <w:r>
        <w:rPr>
          <w:rFonts w:hint="eastAsia" w:cs="仿宋" w:asciiTheme="minorEastAsia" w:hAnsiTheme="minorEastAsia" w:eastAsiaTheme="minorEastAsia"/>
          <w:b/>
          <w:szCs w:val="24"/>
        </w:rPr>
        <w:t xml:space="preserve">货物（包含与货物相关的服务）的追加</w:t>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6" w:name="_Toc388026586"/>
      <w:r/>
      <w:bookmarkEnd w:id="35"/>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ind w:firstLine="431"/>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jc w:val="both"/>
        <w:spacing w:line="360" w:lineRule="auto"/>
        <w:rPr>
          <w:rFonts w:hint="eastAsia" w:cs="仿宋" w:asciiTheme="minorEastAsia" w:hAnsiTheme="minorEastAsia" w:eastAsiaTheme="minorEastAsia"/>
          <w:szCs w:val="24"/>
        </w:rPr>
      </w:pPr>
      <w:r>
        <w:rPr>
          <w:rFonts w:hint="eastAsia" w:cs="仿宋" w:asciiTheme="minorEastAsia" w:hAnsiTheme="minorEastAsia" w:eastAsiaTheme="minorEastAsia"/>
          <w:szCs w:val="24"/>
        </w:rPr>
      </w:r>
      <w:r/>
    </w:p>
    <w:p>
      <w:pPr>
        <w:pStyle w:val="1015"/>
        <w:numPr>
          <w:ilvl w:val="0"/>
          <w:numId w:val="4"/>
        </w:numPr>
        <w:ind w:firstLine="0"/>
        <w:jc w:val="center"/>
        <w:spacing w:line="360" w:lineRule="auto"/>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 采购</w:t>
      </w:r>
      <w:bookmarkEnd w:id="36"/>
      <w:r>
        <w:rPr>
          <w:rFonts w:hint="eastAsia" w:cs="仿宋" w:asciiTheme="minorEastAsia" w:hAnsiTheme="minorEastAsia" w:eastAsiaTheme="minorEastAsia"/>
          <w:b/>
          <w:sz w:val="32"/>
          <w:szCs w:val="32"/>
        </w:rPr>
        <w:t xml:space="preserve">需求</w:t>
      </w:r>
      <w:r/>
    </w:p>
    <w:p>
      <w:pPr>
        <w:pStyle w:val="869"/>
        <w:ind w:left="720" w:firstLine="0"/>
        <w:jc w:val="left"/>
        <w:spacing w:line="360" w:lineRule="auto"/>
        <w:tabs>
          <w:tab w:val="left" w:pos="1260" w:leader="none"/>
        </w:tabs>
        <w:rPr>
          <w:rFonts w:hint="eastAsia" w:ascii="宋体" w:hAnsi="宋体" w:eastAsia="宋体"/>
          <w:b/>
          <w:sz w:val="28"/>
          <w:szCs w:val="28"/>
        </w:rPr>
      </w:pPr>
      <w:r/>
      <w:bookmarkStart w:id="37" w:name="_Toc409438821"/>
      <w:r/>
      <w:bookmarkStart w:id="38" w:name="_Toc388026588"/>
      <w:r>
        <w:rPr>
          <w:rFonts w:hint="eastAsia" w:ascii="宋体" w:hAnsi="宋体" w:eastAsia="宋体"/>
          <w:b/>
          <w:sz w:val="28"/>
          <w:szCs w:val="28"/>
        </w:rPr>
        <w:t xml:space="preserve">一、采购需求</w:t>
      </w:r>
      <w:r/>
    </w:p>
    <w:tbl>
      <w:tblPr>
        <w:tblStyle w:val="1039"/>
        <w:tblW w:w="4993"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3349"/>
        <w:gridCol w:w="1135"/>
        <w:gridCol w:w="2910"/>
      </w:tblGrid>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品目</w:t>
            </w:r>
            <w:r>
              <w:rPr>
                <w:rFonts w:hint="eastAsia" w:ascii="宋体" w:hAnsi="宋体" w:eastAsia="宋体" w:cs="宋体"/>
                <w:sz w:val="24"/>
                <w:szCs w:val="24"/>
              </w:rPr>
              <w:t xml:space="preserve">号</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75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便携式彩色多普勒超声诊断仪</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754"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泰兴市黄桥镇刘陈卫生院（泰兴市精神卫生中心）指定地点</w:t>
            </w:r>
            <w:r/>
          </w:p>
        </w:tc>
      </w:tr>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多参数监护仪 </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经颅磁刺激仪</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超声经颅多普勒血流分析仪</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脑波治疗仪</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数字化多功能脑电图仪</w:t>
            </w:r>
            <w:r/>
          </w:p>
        </w:tc>
        <w:tc>
          <w:tcPr>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shd w:val="clear" w:color="auto" w:fill="ffffff"/>
            <w:tcW w:w="543" w:type="pct"/>
            <w:vAlign w:val="center"/>
            <w:textDirection w:val="lrTb"/>
            <w:noWrap w:val="false"/>
          </w:tcPr>
          <w:p>
            <w:pPr>
              <w:jc w:val="center"/>
              <w:spacing w:line="440" w:lineRule="exact"/>
              <w:rPr>
                <w:rFonts w:hint="eastAsia" w:ascii="宋体" w:hAnsi="宋体" w:eastAsia="宋体" w:cs="宋体"/>
                <w:sz w:val="24"/>
                <w:szCs w:val="24"/>
              </w:rPr>
            </w:pPr>
            <w:r/>
            <w:bookmarkStart w:id="39" w:name="_Hlk183174083"/>
            <w:r>
              <w:rPr>
                <w:rFonts w:hint="eastAsia" w:ascii="宋体" w:hAnsi="宋体" w:eastAsia="宋体" w:cs="宋体"/>
                <w:sz w:val="24"/>
                <w:szCs w:val="24"/>
              </w:rPr>
              <w:t xml:space="preserve">7</w:t>
            </w:r>
            <w:r/>
          </w:p>
        </w:tc>
        <w:tc>
          <w:tcPr>
            <w:shd w:val="clear" w:color="auto" w:fill="ffffff"/>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无创呼吸机</w:t>
            </w:r>
            <w:r/>
          </w:p>
        </w:tc>
        <w:tc>
          <w:tcPr>
            <w:shd w:val="clear" w:color="auto" w:fill="ffffff"/>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51" w:hRule="exact"/>
        </w:trPr>
        <w:tc>
          <w:tcPr>
            <w:shd w:val="clear" w:color="auto" w:fill="ffffff"/>
            <w:tcW w:w="54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ffffff"/>
            <w:tcW w:w="2019"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医用心理测评系统</w:t>
            </w:r>
            <w:r/>
          </w:p>
        </w:tc>
        <w:tc>
          <w:tcPr>
            <w:shd w:val="clear" w:color="auto" w:fill="ffffff"/>
            <w:tcW w:w="6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754" w:type="pct"/>
            <w:vAlign w:val="center"/>
            <w:vMerge w:val="continue"/>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bookmarkEnd w:id="39"/>
            <w:r/>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869"/>
        <w:numPr>
          <w:ilvl w:val="0"/>
          <w:numId w:val="9"/>
        </w:numPr>
        <w:jc w:val="left"/>
        <w:spacing w:line="360" w:lineRule="auto"/>
        <w:tabs>
          <w:tab w:val="left" w:pos="1260" w:leader="none"/>
        </w:tabs>
      </w:pPr>
      <w:r>
        <w:rPr>
          <w:rFonts w:hint="eastAsia" w:ascii="宋体" w:hAnsi="宋体" w:eastAsia="宋体"/>
          <w:b/>
          <w:sz w:val="28"/>
          <w:szCs w:val="28"/>
        </w:rPr>
        <w:t xml:space="preserve">技术要求</w:t>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w:t>
      </w:r>
      <w:r>
        <w:rPr>
          <w:rFonts w:hint="eastAsia" w:asciiTheme="minorEastAsia" w:hAnsiTheme="minorEastAsia" w:eastAsiaTheme="minorEastAsia"/>
          <w:b/>
          <w:bCs/>
          <w:szCs w:val="28"/>
        </w:rPr>
        <w:t xml:space="preserve">一</w:t>
      </w:r>
      <w:r>
        <w:rPr>
          <w:rFonts w:hint="eastAsia" w:asciiTheme="minorEastAsia" w:hAnsiTheme="minorEastAsia" w:eastAsiaTheme="minorEastAsia"/>
          <w:b/>
          <w:bCs/>
          <w:szCs w:val="28"/>
        </w:rPr>
        <w:t xml:space="preserve">：便携式彩色多普勒超声诊断仪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一、设备用途说明：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腹部、妇产科、泌尿科、肌骨、新生儿、介入、血管、浅表组织与小器官。</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二、主要规格功能及系统概述：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1、笔记本式彩色多普勒超声波诊断仪包括：</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1.1、≥15英寸高清晰度彩色液晶显示器</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1.2、数字化</w:t>
      </w:r>
      <w:r>
        <w:rPr>
          <w:rFonts w:hint="eastAsia" w:asciiTheme="minorEastAsia" w:hAnsiTheme="minorEastAsia" w:eastAsiaTheme="minorEastAsia"/>
          <w:sz w:val="24"/>
          <w:szCs w:val="24"/>
        </w:rPr>
        <w:t xml:space="preserve">二维灰阶</w:t>
      </w:r>
      <w:r>
        <w:rPr>
          <w:rFonts w:hint="eastAsia" w:asciiTheme="minorEastAsia" w:hAnsiTheme="minorEastAsia" w:eastAsiaTheme="minorEastAsia"/>
          <w:sz w:val="24"/>
          <w:szCs w:val="24"/>
        </w:rPr>
        <w:t xml:space="preserve">成像单元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1.3、数字化彩色及能量多普勒单元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1.4、数字化频谱多普勒显示和分析单元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1.5、数字化波束形成器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1.6、多角度空间复合成像技术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1.7、智能化斑点噪声抑制技术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1.8、自动优化功能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1.8.1、二维图像自动优化</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1.8.2、多普勒图像自动优化</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1.8.3、彩色血流自动优化</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rPr>
          <w:rFonts w:hint="eastAsia" w:asciiTheme="minorEastAsia" w:hAnsiTheme="minorEastAsia" w:eastAsiaTheme="minorEastAsia"/>
          <w:sz w:val="24"/>
          <w:szCs w:val="24"/>
        </w:rPr>
        <w:t xml:space="preserve">实时宽景成像</w:t>
      </w:r>
      <w:r>
        <w:rPr>
          <w:rFonts w:hint="eastAsia" w:asciiTheme="minorEastAsia" w:hAnsiTheme="minorEastAsia" w:eastAsiaTheme="minorEastAsia"/>
          <w:sz w:val="24"/>
          <w:szCs w:val="24"/>
        </w:rPr>
        <w:t xml:space="preserve">技术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1.10、实时同屏教学软件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▲1.11、智能追踪技术（实时</w:t>
      </w:r>
      <w:r>
        <w:rPr>
          <w:rFonts w:hint="eastAsia" w:asciiTheme="minorEastAsia" w:hAnsiTheme="minorEastAsia" w:eastAsiaTheme="minorEastAsia"/>
          <w:sz w:val="24"/>
          <w:szCs w:val="24"/>
        </w:rPr>
        <w:t xml:space="preserve">扫查快速</w:t>
      </w:r>
      <w:r>
        <w:rPr>
          <w:rFonts w:hint="eastAsia" w:asciiTheme="minorEastAsia" w:hAnsiTheme="minorEastAsia" w:eastAsiaTheme="minorEastAsia"/>
          <w:sz w:val="24"/>
          <w:szCs w:val="24"/>
        </w:rPr>
        <w:t xml:space="preserve">重现存储图像全部扫描参数）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▲1.12、血流量化评估技术（血流信号充盈比率曲线分析图表）</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1.13、高灵敏度能量多普勒（慢速及细微血流能量多普勒成像模式）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1.14、自适应彩色增强技术(可自动滤除运动伪影)</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1.15、编码脉冲反相二次谐波成像（可用于所有探头）</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1.16、原始数据处理能力（可对已存储的图像进行增益、动态范围、多普勒基线、多普勒角度、扫描速度、自动优化等调节以及测量和分析）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1.17、主机上实现实时及脱机状态M型扫描线可以以任意点为轴心360°旋转</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1.18、整机重量≤5.2公斤</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1.19、数字化通道≥1024通道</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1.20、可视可调系统动态范围≥96db</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1.21、超声系统最大探查深度≥33CM</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1.22、实时三同步成像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1.23、方向性能量图（DCA）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1.24、线阵探头</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型扩展技术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★1.25、穿刺针增强显影技术，穿刺针增益可实时调节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1.26、AUTO IMT颈动脉中内膜测量技术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1.27、轨迹球操作</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1.28、中文操作界面, 中文输入（包括报告、注释等）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1.29、内置锂电池操作（断电条件下工作时间≥0.5小时）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▲1.30、支持造影成像技术：支持腹部造影成像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▲1.31、支持弹性成像技术：支持线阵应变式弹性成像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▲1.32、支持5G远程软件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2、测量和分析：(B型、M型、彩色M型、频谱多普勒、彩色模式)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2.1、一般测量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2.2、妇产科测量（包括孕期、预产期、</w:t>
      </w:r>
      <w:r>
        <w:rPr>
          <w:rFonts w:hint="eastAsia" w:asciiTheme="minorEastAsia" w:hAnsiTheme="minorEastAsia" w:eastAsiaTheme="minorEastAsia"/>
          <w:sz w:val="24"/>
          <w:szCs w:val="24"/>
        </w:rPr>
        <w:t xml:space="preserve">胎重的</w:t>
      </w:r>
      <w:r>
        <w:rPr>
          <w:rFonts w:hint="eastAsia" w:asciiTheme="minorEastAsia" w:hAnsiTheme="minorEastAsia" w:eastAsiaTheme="minorEastAsia"/>
          <w:sz w:val="24"/>
          <w:szCs w:val="24"/>
        </w:rPr>
        <w:t xml:space="preserve">分析及显示，胎儿生长曲线（</w:t>
      </w:r>
      <w:r>
        <w:rPr>
          <w:rFonts w:hint="eastAsia" w:asciiTheme="minorEastAsia" w:hAnsiTheme="minorEastAsia" w:eastAsiaTheme="minorEastAsia"/>
          <w:sz w:val="24"/>
          <w:szCs w:val="24"/>
        </w:rPr>
        <w:t xml:space="preserve">单幅和</w:t>
      </w:r>
      <w:r>
        <w:rPr>
          <w:rFonts w:hint="eastAsia" w:asciiTheme="minorEastAsia" w:hAnsiTheme="minorEastAsia" w:eastAsiaTheme="minorEastAsia"/>
          <w:sz w:val="24"/>
          <w:szCs w:val="24"/>
        </w:rPr>
        <w:t xml:space="preserve">多幅同时显示）、多数据对比图、子宫卵巢和卵泡的测量和计算以及全面的可编辑的报告功能）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2.3、多普勒血流测量与分析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2.4、实时多普勒自动包络、测量和计算</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2.5、心脏功能测量以及各瓣膜功能的测量、分析及报告</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2.6、外周血管测量与分析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2.7、泌尿科测量与分析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3、一体化图像存储与(电影)回放重现及病案管理单元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3.1、超声图像静态、动态存储原始数据回放重现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3.2、原始数据储存，可对回放的图像进行35种参数调节，2B及M型模式10个参数，CFM模式7个参数，PW模式18个参数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3.3、一体化病案管理单元包括病人资料、报告、图像等的存储、修改、检索和打印等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3.4、USB接口支持快速</w:t>
      </w:r>
      <w:r>
        <w:rPr>
          <w:rFonts w:hint="eastAsia" w:asciiTheme="minorEastAsia" w:hAnsiTheme="minorEastAsia" w:eastAsiaTheme="minorEastAsia"/>
          <w:sz w:val="24"/>
          <w:szCs w:val="24"/>
        </w:rPr>
        <w:t xml:space="preserve">闪</w:t>
      </w:r>
      <w:r>
        <w:rPr>
          <w:rFonts w:hint="eastAsia" w:asciiTheme="minorEastAsia" w:hAnsiTheme="minorEastAsia" w:eastAsiaTheme="minorEastAsia"/>
          <w:sz w:val="24"/>
          <w:szCs w:val="24"/>
        </w:rPr>
        <w:t xml:space="preserve">存卡，快速存储屏幕上的图像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4、输入/输出信号：</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4.1、输入：DVI，HDMI，USB，Lan</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4.2、输出：HDMI，DVI，USB，DVD，Lan</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5、连通性：可配医学数字图像和通信DICOM3.0版接口部件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6、图像管理与记录装置：</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6.1、超声图像存档与病案管理系统</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6.2、动态图像、静态图像以PC通用格式直接存储，无需特殊软件即能在普通  PC 机上直接观看图像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6.3、一体化的剪贴板(在荧光屏上)可以存储和回放动态及静态图像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6.4、内置固态硬盘≥128GB</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三、技术参数及要求：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1、系统通用功能：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1.1、监 视 器：≥15英寸LCD显示器,扫描方式：逐行扫描，高分辨率</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1.2、安全性能：符合国家药品监督管理局商品安全质量要求。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2、探头规格</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2.1、频率：宽频带或变频探头，变频探头二维显示频率（基波+谐波）可选择≥9种，彩色显示频率可选择≥4种, 多普勒显示频率可选择≥4种</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2.2、类型：支持</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阵，线阵，相控阵, 微凸阵</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2.3、阵元：线阵探头有效阵元数≥192阵元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★2.4、阵元：</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阵探头有效阵元数≥192阵元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2.5、B/D兼用：</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2.6、线    阵：B/PWD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    阵：B/PWD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2.8、相控阵：B/PWD/CWD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2.9、穿刺导向：探头可选配穿刺导向装置</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二维灰阶</w:t>
      </w:r>
      <w:r>
        <w:rPr>
          <w:rFonts w:hint="eastAsia" w:asciiTheme="minorEastAsia" w:hAnsiTheme="minorEastAsia" w:eastAsiaTheme="minorEastAsia"/>
          <w:sz w:val="24"/>
          <w:szCs w:val="24"/>
        </w:rPr>
        <w:t xml:space="preserve">显像主要参数：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3.1、电子</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阵：超声频率2.0-5.0MHz</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3.2、扫描速率： B模式</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阵探头全视野，18cm深度时，帧速率≥50帧/秒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3.3、扫描速率:  B模式相控阵探头90度，18cm深度时，帧速率≥40 帧/秒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3.4、扫 描 线：每帧线密度≥230超声线</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3.5、线阵探头种类≥3种</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3.6、</w:t>
      </w:r>
      <w:r>
        <w:rPr>
          <w:rFonts w:hint="eastAsia" w:asciiTheme="minorEastAsia" w:hAnsiTheme="minorEastAsia" w:eastAsiaTheme="minorEastAsia"/>
          <w:sz w:val="24"/>
          <w:szCs w:val="24"/>
        </w:rPr>
        <w:t xml:space="preserve">发射声</w:t>
      </w:r>
      <w:r>
        <w:rPr>
          <w:rFonts w:hint="eastAsia" w:asciiTheme="minorEastAsia" w:hAnsiTheme="minorEastAsia" w:eastAsiaTheme="minorEastAsia"/>
          <w:sz w:val="24"/>
          <w:szCs w:val="24"/>
        </w:rPr>
        <w:t xml:space="preserve">束聚焦：≥8段</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3.7、回放重现：灰阶图像回放≥1000幅、回放时间≥60秒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3.8、预设条件：针对不同的检查脏器，预置最佳化图像的检查条件， 减少操作时的调节，及常用所需的外部调节及组合调节。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3.9、增益调节：B/M/CF/D可独立调节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3.10、物理TGC调节≥6段</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3.11、空间分辨力：符合GB10152-2009国家标准</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4、频谱多普勒：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4.1、方式：脉冲波多普勒 PWD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高脉冲重复频率  HPFF</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连续波多普勒 CWD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组织多普勒速度成像 TVI/TVD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4.2、多普勒发射频率</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线    阵≥2段</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    阵≥2段</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4.3、最大测量速度：</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PWD：血流速度≥8.0 m/s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ab/>
        <w:t xml:space="preserve">  CWD:   血流速度≥14.0 m/s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4.4、最低测量速度：≤5.0mm/s(非噪声信号)</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4.5、显示方式：B、M、B/M、B/M/CFI、B/D、D、B/CFI/D</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4.6、电影回放：≥60秒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4.7、取样宽度及位置范围：宽度1mm至16mm；分级</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5、彩色多普勒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5.1、显示方式：速度分散显示、能量显示、速度显示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5.2、彩色显示帧频：</w:t>
      </w:r>
      <w:r>
        <w:rPr>
          <w:rFonts w:hint="eastAsia" w:asciiTheme="minorEastAsia" w:hAnsiTheme="minorEastAsia" w:eastAsiaTheme="minorEastAsia"/>
          <w:sz w:val="24"/>
          <w:szCs w:val="24"/>
        </w:rPr>
        <w:t xml:space="preserve">凸</w:t>
      </w:r>
      <w:r>
        <w:rPr>
          <w:rFonts w:hint="eastAsia" w:asciiTheme="minorEastAsia" w:hAnsiTheme="minorEastAsia" w:eastAsiaTheme="minorEastAsia"/>
          <w:sz w:val="24"/>
          <w:szCs w:val="24"/>
        </w:rPr>
        <w:t xml:space="preserve">阵探头全视野，最大彩色取样框，18cm深时， 彩色显示帧频≥8帧/秒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5.3、相控阵探头</w:t>
      </w:r>
      <w:r>
        <w:rPr>
          <w:rFonts w:hint="eastAsia" w:asciiTheme="minorEastAsia" w:hAnsiTheme="minorEastAsia" w:eastAsiaTheme="minorEastAsia"/>
          <w:sz w:val="24"/>
          <w:szCs w:val="24"/>
        </w:rPr>
        <w:t xml:space="preserve">90度角全视野</w:t>
      </w:r>
      <w:r>
        <w:rPr>
          <w:rFonts w:hint="eastAsia" w:asciiTheme="minorEastAsia" w:hAnsiTheme="minorEastAsia" w:eastAsiaTheme="minorEastAsia"/>
          <w:sz w:val="24"/>
          <w:szCs w:val="24"/>
        </w:rPr>
        <w:t xml:space="preserve">彩色取样框，18cm深度，彩色显示帧频≥7 帧/秒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5.4、显示控制：零位移动、黑白与彩色比较、彩色对比</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5.5、彩色增强功能：彩色多普勒能量图(CDE)（包括方向性能量图）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5.6、双幅实时显示、包括双幅不同模式实时显示（B/B;B/CFM）</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6、超声功率输出调节：B/M、PWD、Color Doppler输出功率可调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jc w:val="center"/>
        <w:spacing w:line="360" w:lineRule="auto"/>
        <w:rPr>
          <w:rFonts w:hint="eastAsia" w:asciiTheme="minorEastAsia" w:hAnsiTheme="minorEastAsia" w:eastAsiaTheme="minorEastAsia"/>
          <w:b/>
          <w:bCs/>
          <w:szCs w:val="28"/>
        </w:rPr>
      </w:pPr>
      <w:r>
        <w:rPr>
          <w:rFonts w:asciiTheme="minorEastAsia" w:hAnsiTheme="minorEastAsia" w:eastAsiaTheme="minorEastAsia"/>
          <w:b/>
          <w:bCs/>
          <w:szCs w:val="28"/>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品目二：多参数监护仪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1、整机要求：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1.1、便携</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体式监护仪, 整机无风扇设计，降低环境噪音干扰。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1.2、★≥10寸彩色电容触摸屏，分辨率≥1024*600，≥8通道波形显示，提供说明书或检验报告证明。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rPr>
          <w:rFonts w:hint="eastAsia" w:asciiTheme="minorEastAsia" w:hAnsiTheme="minorEastAsia" w:eastAsiaTheme="minorEastAsia"/>
          <w:sz w:val="24"/>
          <w:szCs w:val="24"/>
        </w:rPr>
        <w:t xml:space="preserve">标配锂电池</w:t>
      </w:r>
      <w:r>
        <w:rPr>
          <w:rFonts w:hint="eastAsia" w:asciiTheme="minorEastAsia" w:hAnsiTheme="minorEastAsia" w:eastAsiaTheme="minorEastAsia"/>
          <w:sz w:val="24"/>
          <w:szCs w:val="24"/>
        </w:rPr>
        <w:t xml:space="preserve">，工作时间≥6小时。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1.4、安全规格：ECG, TEMP, SpO2 , NIBP监测参数抗电击程度为防除</w:t>
      </w:r>
      <w:r>
        <w:rPr>
          <w:rFonts w:hint="eastAsia" w:asciiTheme="minorEastAsia" w:hAnsiTheme="minorEastAsia" w:eastAsiaTheme="minorEastAsia"/>
          <w:sz w:val="24"/>
          <w:szCs w:val="24"/>
        </w:rPr>
        <w:t xml:space="preserve">颤</w:t>
      </w:r>
      <w:r>
        <w:rPr>
          <w:rFonts w:hint="eastAsia" w:asciiTheme="minorEastAsia" w:hAnsiTheme="minorEastAsia" w:eastAsiaTheme="minorEastAsia"/>
          <w:sz w:val="24"/>
          <w:szCs w:val="24"/>
        </w:rPr>
        <w:t xml:space="preserve">CF型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1.5、监护</w:t>
      </w:r>
      <w:r>
        <w:rPr>
          <w:rFonts w:hint="eastAsia" w:asciiTheme="minorEastAsia" w:hAnsiTheme="minorEastAsia" w:eastAsiaTheme="minorEastAsia"/>
          <w:sz w:val="24"/>
          <w:szCs w:val="24"/>
        </w:rPr>
        <w:t xml:space="preserve">仪设计</w:t>
      </w:r>
      <w:r>
        <w:rPr>
          <w:rFonts w:hint="eastAsia" w:asciiTheme="minorEastAsia" w:hAnsiTheme="minorEastAsia" w:eastAsiaTheme="minorEastAsia"/>
          <w:sz w:val="24"/>
          <w:szCs w:val="24"/>
        </w:rPr>
        <w:t xml:space="preserve">使用年限≥10年，提供机器标贴证明材料。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2、监测参数：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2.1、标准配置可监测心电，呼吸，无创血压，血氧饱和度，脉搏和体温，适用于成人、小儿和新生儿。</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2.2、采用ECG多导同步分析专利技术，保证心电监护的优异性。</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2.3、心电波形速度支持6.25、12.5、25和50mm/s不少于4种选择。</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2.4、具备智能导联脱落监测功能，个别导联脱落的情况下仍能保持监护。</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2.5、提供SpO2和PR的实时监测，适用于成人，小儿和新生儿。来自SpO2的PR测量范围：20-300。</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2.6、采用抗干扰和弱灌注血氧专利技术保证血氧监护的优异性。</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2.7、提供手动，自动，连续、序列和整点5种测量模式。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2.8、提供动态血压分析界面，包括平均血压、白天平均血压、夜间平均血压、最高血压、最低血压和正常血压比例等，直观快速了解过去24小时患者血压变化和分布情况。</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2.9、提供呼吸测量，适用于成人、小儿和新生儿。呼吸测量范围：0-200 rpm。</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3、系统功能：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3.1、具有三级声光报警，参数报警级别可调。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3.2、★支持自主培训功能，通过动画与图文结合，对医护团队介绍监护仪常用功能，提供说明书或检验报告证明。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3.3、支持所有监测参数报警限一键自动设置功能，满足医护团队快速管理患者报警需求，产品用户手册提供报警限自动设置规则。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3.4、具有图形化技术报警指示功能，帮助医护团队快速识别报警来源。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3.5、具备监护模式、待机模式，演示模式、隐私模式和夜间模式不少于5种工作模式。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3.6、支持格拉斯哥昏迷评分（GCS）功能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3.7、动态趋势界面可支持统计1-24小时心律失常报警、参数超限报警信息，并对超限报警区间的波形进行高亮显示，帮助医护人员快速识别异常趋势信息。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3.8、★支持带ABD事件的呼吸氧合界面，提供说明书或检验报告证明。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3.9、支持RJ45接口进行有线网络通信，和除颤监护仪一起联网通信到中心监护系统。</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3.10、主机集成附件收纳槽，支持将心电、血氧和无创血压等导联线附件进行收纳放置，方便监护仪设备的高效管理和转移。</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jc w:val="center"/>
        <w:spacing w:line="360" w:lineRule="auto"/>
        <w:rPr>
          <w:rFonts w:hint="eastAsia" w:asciiTheme="minorEastAsia" w:hAnsiTheme="minorEastAsia" w:eastAsiaTheme="minorEastAsia"/>
          <w:b/>
          <w:bCs/>
          <w:szCs w:val="28"/>
        </w:rPr>
      </w:pPr>
      <w:r>
        <w:rPr>
          <w:rFonts w:asciiTheme="minorEastAsia" w:hAnsiTheme="minorEastAsia" w:eastAsiaTheme="minorEastAsia"/>
          <w:b/>
          <w:bCs/>
          <w:szCs w:val="28"/>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品目三：经颅磁刺激仪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1、适应症：通过刺激人体中枢神经和外周神经，用于康复科、精神科和神经科的神经电生理检查、运动神经功能评定，以及用于辅助治疗或改善失眠症状，对脑神经及神经损伤性疾病的辅助治疗</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2、主机：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2.1、★外观结构：</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体式主机，冷却系统脉冲源高度集成，绝缘性好，重心稳定防止倾覆及人为推倒。</w:t>
      </w:r>
      <w:r>
        <w:rPr>
          <w:rFonts w:hint="eastAsia" w:asciiTheme="minorEastAsia" w:hAnsiTheme="minorEastAsia" w:eastAsiaTheme="minorEastAsia"/>
          <w:sz w:val="24"/>
          <w:szCs w:val="24"/>
        </w:rPr>
        <w:t xml:space="preserve">非液电</w:t>
      </w:r>
      <w:r>
        <w:rPr>
          <w:rFonts w:hint="eastAsia" w:asciiTheme="minorEastAsia" w:hAnsiTheme="minorEastAsia" w:eastAsiaTheme="minorEastAsia"/>
          <w:sz w:val="24"/>
          <w:szCs w:val="24"/>
        </w:rPr>
        <w:t xml:space="preserve">分离式堆叠结构即刺激主机及冷却系统分别固定安装于台车。（彩页或</w:t>
      </w:r>
      <w:r>
        <w:rPr>
          <w:rFonts w:hint="eastAsia" w:asciiTheme="minorEastAsia" w:hAnsiTheme="minorEastAsia" w:eastAsiaTheme="minorEastAsia"/>
          <w:sz w:val="24"/>
          <w:szCs w:val="24"/>
        </w:rPr>
        <w:t xml:space="preserve">官网截</w:t>
      </w:r>
      <w:r>
        <w:rPr>
          <w:rFonts w:hint="eastAsia" w:asciiTheme="minorEastAsia" w:hAnsiTheme="minorEastAsia" w:eastAsiaTheme="minorEastAsia"/>
          <w:sz w:val="24"/>
          <w:szCs w:val="24"/>
        </w:rPr>
        <w:t xml:space="preserve">图证明）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2.2、▲冷却系统：液态内循环冷却系统，非风冷或静态液冷或外循环液冷；冷却系统具备自主知识产权，可被证实降低噪音和节约能源。（提供专利证书加以证明）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2.3、★操作系统：笔记本电脑承载管理软件，非一体机或触摸屏。Windows系统兼容大量科研软件，支持脱离磁刺激主机独立使用。（提供笔记本电脑节能证书或3C证书）</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2.4、刺激线圈最大磁感应强度：1.0T~6T</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2.5、磁感应强度稳定输出允差：±5%</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2.6、磁感应强度的最大变化率：至少包括20KT/s~80KT/s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2.7、脉冲上升时间：至少包括60μs±10μs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2.8、输出脉冲宽度：至少包括340μs±20μs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2.9、★脉冲频率</w:t>
      </w:r>
      <w:r>
        <w:rPr>
          <w:rFonts w:hint="eastAsia" w:asciiTheme="minorEastAsia" w:hAnsiTheme="minorEastAsia" w:eastAsiaTheme="minorEastAsia"/>
          <w:sz w:val="24"/>
          <w:szCs w:val="24"/>
        </w:rPr>
        <w:t xml:space="preserve">允</w:t>
      </w:r>
      <w:r>
        <w:rPr>
          <w:rFonts w:hint="eastAsia" w:asciiTheme="minorEastAsia" w:hAnsiTheme="minorEastAsia" w:eastAsiaTheme="minorEastAsia"/>
          <w:sz w:val="24"/>
          <w:szCs w:val="24"/>
        </w:rPr>
        <w:t xml:space="preserve">差值：±2%（提供设备铭牌或省级以上医疗器械检验中心出具的注册检验报告加以证明）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2.10、电介质强度：主机内部高压储能电容安全可靠，电介质强度可达4000VAC。</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3、安全预警：</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3.1、当冷却系统发生故障时，应有提示或停止磁场输出。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3.2、在设备连续工作中，具有手动停止磁场输出的功能，可以通过按下设备面板上的停止开关，仪器立即停止输出。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3.3、可记录电容放电次数，当电容放电次数达到上限时具有提示功能。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4、刺激线圈：</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w:t>
      </w:r>
      <w:r>
        <w:rPr>
          <w:rFonts w:hint="eastAsia" w:asciiTheme="minorEastAsia" w:hAnsiTheme="minorEastAsia" w:eastAsiaTheme="minorEastAsia"/>
          <w:sz w:val="24"/>
          <w:szCs w:val="24"/>
        </w:rPr>
        <w:t xml:space="preserve">标配圆形</w:t>
      </w:r>
      <w:r>
        <w:rPr>
          <w:rFonts w:hint="eastAsia" w:asciiTheme="minorEastAsia" w:hAnsiTheme="minorEastAsia" w:eastAsiaTheme="minorEastAsia"/>
          <w:sz w:val="24"/>
          <w:szCs w:val="24"/>
        </w:rPr>
        <w:t xml:space="preserve">或8字形线圈，能实现双面双向刺激</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4.2、▲线圈全封闭</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体式工艺，无孔设计，加工一次成型（提供注册证附件产品技术要求产品外观图或检测报告加以证明）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4.3、可扩展临床用线圈拍包括：圆形，8字形、双锥（蝶）形、儿童型；</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4.4、可扩展科研用线圈拍包括：凹面型、动物型、</w:t>
      </w:r>
      <w:r>
        <w:rPr>
          <w:rFonts w:hint="eastAsia" w:asciiTheme="minorEastAsia" w:hAnsiTheme="minorEastAsia" w:eastAsiaTheme="minorEastAsia"/>
          <w:sz w:val="24"/>
          <w:szCs w:val="24"/>
        </w:rPr>
        <w:t xml:space="preserve">盔式深部</w:t>
      </w:r>
      <w:r>
        <w:rPr>
          <w:rFonts w:hint="eastAsia" w:asciiTheme="minorEastAsia" w:hAnsiTheme="minorEastAsia" w:eastAsiaTheme="minorEastAsia"/>
          <w:sz w:val="24"/>
          <w:szCs w:val="24"/>
        </w:rPr>
        <w:t xml:space="preserve">型、红光功能型；（提供实物图片加以证明）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4.5、▲具有电动吸液和电动排液功能。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5、软件功能：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5.1、可建立和储存患者的一般信息。包括：姓名、性别、出生年月日、检查日期、门诊号或住院号、就诊科室等。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5.2、可实现互联网功能，病人档案管理，专家方案，自定义治疗方案，海量储存。</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5.3、实时线圈温度显示。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5.4、可根据病人姓名查找相关储存资料调出回放。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5.5、可统计呈现每个患者的治疗记录，可以将记录存为.docx文档，方便复制和粘贴到硬盘、U盘等其他存储设备。</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6、检测模式：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6.1、检测项目：支持运动阈值（MT）、运动诱发电位（MEP）、中枢神经传导时间（CMCT）、ICI/ICF检测、静息期检测等检测功能。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6.2、检测记录：运动阈值与治疗方案自动记忆功能，可对保存文档中波形与数据进行复现。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6.3、具备自动计算神经传导时间功能。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6.4、具备运动诱发电位（MEP），用于捕捉</w:t>
      </w:r>
      <w:r>
        <w:rPr>
          <w:rFonts w:hint="eastAsia" w:asciiTheme="minorEastAsia" w:hAnsiTheme="minorEastAsia" w:eastAsiaTheme="minorEastAsia"/>
          <w:sz w:val="24"/>
          <w:szCs w:val="24"/>
        </w:rPr>
        <w:t xml:space="preserve">肌</w:t>
      </w:r>
      <w:r>
        <w:rPr>
          <w:rFonts w:hint="eastAsia" w:asciiTheme="minorEastAsia" w:hAnsiTheme="minorEastAsia" w:eastAsiaTheme="minorEastAsia"/>
          <w:sz w:val="24"/>
          <w:szCs w:val="24"/>
        </w:rPr>
        <w:t xml:space="preserve">电信号（EMG），并可以在显示器上显示波形。</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6.4.1、通道数：2通道</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6.4.2、★采样率：100KHz（提供注册证附件产品技术要求或省级以上医疗器械检验中心出具的注册检验报告加以证明）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6.4.3、▲传输方式：内置式MEP模块，无需充电，非锂电池充电或其他需要充电的外置式无线传输MEP模块，确保信号稳定使用方便。</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6.4.4、▲最小分辨率：≤0.1μV，频率测量范围：1Hz~25KHz。（第三方检测报告证明）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7、刺激模式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7.1、单脉冲（</w:t>
      </w:r>
      <w:r>
        <w:rPr>
          <w:rFonts w:hint="eastAsia" w:asciiTheme="minorEastAsia" w:hAnsiTheme="minorEastAsia" w:eastAsiaTheme="minorEastAsia"/>
          <w:sz w:val="24"/>
          <w:szCs w:val="24"/>
        </w:rPr>
        <w:t xml:space="preserve">sTMS</w:t>
      </w:r>
      <w:r>
        <w:rPr>
          <w:rFonts w:hint="eastAsia" w:asciiTheme="minorEastAsia" w:hAnsiTheme="minorEastAsia" w:eastAsiaTheme="minorEastAsia"/>
          <w:sz w:val="24"/>
          <w:szCs w:val="24"/>
        </w:rPr>
        <w:t xml:space="preserve">）、重复脉冲（</w:t>
      </w:r>
      <w:r>
        <w:rPr>
          <w:rFonts w:hint="eastAsia" w:asciiTheme="minorEastAsia" w:hAnsiTheme="minorEastAsia" w:eastAsiaTheme="minorEastAsia"/>
          <w:sz w:val="24"/>
          <w:szCs w:val="24"/>
        </w:rPr>
        <w:t xml:space="preserve">rTMS</w:t>
      </w:r>
      <w:r>
        <w:rPr>
          <w:rFonts w:hint="eastAsia" w:asciiTheme="minorEastAsia" w:hAnsiTheme="minorEastAsia" w:eastAsiaTheme="minorEastAsia"/>
          <w:sz w:val="24"/>
          <w:szCs w:val="24"/>
        </w:rPr>
        <w:t xml:space="preserve">）、复合刺激（TBS）、成对脉冲输出（</w:t>
      </w:r>
      <w:r>
        <w:rPr>
          <w:rFonts w:hint="eastAsia" w:asciiTheme="minorEastAsia" w:hAnsiTheme="minorEastAsia" w:eastAsiaTheme="minorEastAsia"/>
          <w:sz w:val="24"/>
          <w:szCs w:val="24"/>
        </w:rPr>
        <w:t xml:space="preserve">pTMS</w:t>
      </w:r>
      <w:r>
        <w:rPr>
          <w:rFonts w:hint="eastAsia" w:asciiTheme="minorEastAsia" w:hAnsiTheme="minorEastAsia" w:eastAsiaTheme="minorEastAsia"/>
          <w:sz w:val="24"/>
          <w:szCs w:val="24"/>
        </w:rPr>
        <w:t xml:space="preserve">）等多种刺激模式自由调整。</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7.2、★支持双人同时治疗，双人的刺激频率、刺激强度、刺激时间和刺激间隔可完全独立调节，并且无强制关联关系，两线圈可同时输出脉冲。（检测报告证明）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7.3、▲支持双线圈成对刺激，成对脉冲最小时间间隔≤0.1ms，双线圈成对脉冲时间间隔范围-31000ms~31000ms内可调，步长1ms。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7.4、定时时间按照方案的需要设置，在预定时间（方案的总时间）到达后设备自动终止磁场输出，允差：±10%。</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7.5、内置</w:t>
      </w:r>
      <w:r>
        <w:rPr>
          <w:rFonts w:hint="eastAsia" w:asciiTheme="minorEastAsia" w:hAnsiTheme="minorEastAsia" w:eastAsiaTheme="minorEastAsia"/>
          <w:sz w:val="24"/>
          <w:szCs w:val="24"/>
        </w:rPr>
        <w:t xml:space="preserve">多种专家</w:t>
      </w:r>
      <w:r>
        <w:rPr>
          <w:rFonts w:hint="eastAsia" w:asciiTheme="minorEastAsia" w:hAnsiTheme="minorEastAsia" w:eastAsiaTheme="minorEastAsia"/>
          <w:sz w:val="24"/>
          <w:szCs w:val="24"/>
        </w:rPr>
        <w:t xml:space="preserve">方案，可供临床选择，支持刺激方案自定义，设置刺激时间、输出频率、刺激间歇、刺激强度、刺激数量等。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7.6、能显示阈值强度、以百分比表示相对输出强度，显示刺激序列、刺激时间、刺激数量。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7.7、治疗方案提供详细图文描述，配合专利定位帽标识，刺激部位360度呈现，提供精准靶点指导。</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8、触发输出：触发脉冲波宽350μs±50μs，幅度5V±0.5V。</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9、触发输入：输入脉冲波宽≥16μs，幅度5V±0.5V的信号，能被触发。</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10、操作软件上调节触发输入延时时间，软件在0~500ms范围可调，步长0.1ms。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11、操作软件上调节触发输出延时时间，软件在-500~500ms范围可调，步长0.1ms。</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12、▲支持扩展经颅磁刺激随动导航系统（提供经颅磁刺激随动导航系统检测报告）</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13、★开放式的技术平台，可与电刺激、近红外、导航等设备兼容。（彩页或应用场景照片证明）</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14、设备生产厂家取得国际认证机构认证的ISO13485、ISO9001质量体系认证。</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品目四：超声经颅多普勒血流分析仪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一、设备用途说明：用于颅内血管、锁骨下等颈部血管常规检查、脑血流长程监护</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 、性能要求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硬件要求：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1、FFT最小采样率≤128</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最大血</w:t>
      </w:r>
      <w:r>
        <w:rPr>
          <w:rFonts w:hint="eastAsia" w:asciiTheme="minorEastAsia" w:hAnsiTheme="minorEastAsia" w:eastAsiaTheme="minorEastAsia"/>
          <w:sz w:val="24"/>
          <w:szCs w:val="24"/>
        </w:rPr>
        <w:t xml:space="preserve">流速测量：50mm深度时，单向最大速度量程≥510cm/s以上，58mm深度时，单向最大速度量程≥445cm/s（提供检测报告或说明书证明材料）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3、采样容积：4-20mm连续可调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▲4、中心探测频率为2MHz探头时，最大工作距离≥250mm（提供检测报告或说明书证明材料）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5、增益范围：0-40dB</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6、发射功率：实际功率0~512mw可调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▲7、2M PW探头能量检测范围≥4000mW/cm2（提供检测报告或说明书证明材料）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8、频谱显示色彩：可自定义色彩，≥256色</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★9、TCD专用有线遥控小键盘，不接受无线小键盘及电脑键盘操作方式（提供检测报告或说明书证明材料）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▲10、2MHz颅内探头峰值负声压≥0.4MPa（提供检测报告或说明书证明材料）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软件要求：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11、检测参数：Vs、</w:t>
      </w:r>
      <w:r>
        <w:rPr>
          <w:rFonts w:hint="eastAsia" w:asciiTheme="minorEastAsia" w:hAnsiTheme="minorEastAsia" w:eastAsiaTheme="minorEastAsia"/>
          <w:sz w:val="24"/>
          <w:szCs w:val="24"/>
        </w:rPr>
        <w:t xml:space="preserve">Vd</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Vm</w:t>
      </w:r>
      <w:r>
        <w:rPr>
          <w:rFonts w:hint="eastAsia" w:asciiTheme="minorEastAsia" w:hAnsiTheme="minorEastAsia" w:eastAsiaTheme="minorEastAsia"/>
          <w:sz w:val="24"/>
          <w:szCs w:val="24"/>
        </w:rPr>
        <w:t xml:space="preserve">、PI、RI、SD、HR、SBI、HITS、TI</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12、多普勒色系：可自定义谱图颜色</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13、常规检测</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1）显示患者一般资料</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2）初诊提示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3）即时删除不想保存的谱图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4）已保存的DOP快照可随时修改血管名称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5）全自动同时双向计数，并支持手动测量,手动测量自动保存数据</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6）可对同一病历追加采集谱图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7）可对同一患者追加多个病历</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8）谱图方向可翻转（标准/反向）</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9）包络线支持正、负、双向三向包络，且随时可以显示或屏蔽包络</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10）实时显示探头朝向</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11）血流声音从小到大多级可调，并可静音</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14、病案管理、报告格式：快速检索病例、Word报告模式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15、多深度动态M波：每个通道都有独立的动态M波，回放过程中可以调整增益、分析范围等参数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16、支持DCIOM3.0国际标准网络接口，可连接医院网络</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jc w:val="center"/>
        <w:spacing w:line="360" w:lineRule="auto"/>
        <w:rPr>
          <w:rFonts w:hint="eastAsia" w:asciiTheme="minorEastAsia" w:hAnsiTheme="minorEastAsia" w:eastAsiaTheme="minorEastAsia"/>
          <w:b/>
          <w:bCs/>
          <w:szCs w:val="28"/>
        </w:rPr>
      </w:pPr>
      <w:r>
        <w:rPr>
          <w:rFonts w:asciiTheme="minorEastAsia" w:hAnsiTheme="minorEastAsia" w:eastAsiaTheme="minorEastAsia"/>
          <w:b/>
          <w:bCs/>
          <w:szCs w:val="28"/>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品目五：脑波治疗仪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一、基本功能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1、整合三种疗法于一体：声光脑波同步疗法、音乐疗法、电刺激疗法；由模拟脑电波组合发生器、</w:t>
      </w:r>
      <w:r>
        <w:rPr>
          <w:rFonts w:hint="eastAsia" w:asciiTheme="minorEastAsia" w:hAnsiTheme="minorEastAsia" w:eastAsiaTheme="minorEastAsia"/>
          <w:sz w:val="24"/>
          <w:szCs w:val="24"/>
        </w:rPr>
        <w:t xml:space="preserve">穴位电</w:t>
      </w:r>
      <w:r>
        <w:rPr>
          <w:rFonts w:hint="eastAsia" w:asciiTheme="minorEastAsia" w:hAnsiTheme="minorEastAsia" w:eastAsiaTheme="minorEastAsia"/>
          <w:sz w:val="24"/>
          <w:szCs w:val="24"/>
        </w:rPr>
        <w:t xml:space="preserve">脉冲发生器和专用眼罩、耳机、治疗电极组成；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2、★主机一体机实现声、光、电8-12路输出，实施8-12人团体治疗，有线治疗模式，保证信号的准确稳定，非无线模式；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3、声、光、电信号输出调节均由涤纶面板实现，无机械电位器，利于日常清洁消毒及产品维保；</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4、▲为适应专科医院特殊病人需求，提高产品抗震</w:t>
      </w:r>
      <w:r>
        <w:rPr>
          <w:rFonts w:hint="eastAsia" w:asciiTheme="minorEastAsia" w:hAnsiTheme="minorEastAsia" w:eastAsiaTheme="minorEastAsia"/>
          <w:sz w:val="24"/>
          <w:szCs w:val="24"/>
        </w:rPr>
        <w:t xml:space="preserve">抗摔及</w:t>
      </w:r>
      <w:r>
        <w:rPr>
          <w:rFonts w:hint="eastAsia" w:asciiTheme="minorEastAsia" w:hAnsiTheme="minorEastAsia" w:eastAsiaTheme="minorEastAsia"/>
          <w:sz w:val="24"/>
          <w:szCs w:val="24"/>
        </w:rPr>
        <w:t xml:space="preserve">宽泛的环境适应力，整机不含液晶等含玻璃材质的器件，提高整机安全性，避免病人不受控而引发的次生危机发生。</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二、技术参数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1、▲模拟脑电波声和光刺激输出：有14组基本治疗处方，任选一组，采用主机有线输出模式，光和声刺激各8-12路输出；</w:t>
      </w:r>
      <w:r>
        <w:rPr>
          <w:rFonts w:hint="eastAsia" w:asciiTheme="minorEastAsia" w:hAnsiTheme="minorEastAsia" w:eastAsiaTheme="minorEastAsia"/>
          <w:sz w:val="24"/>
          <w:szCs w:val="24"/>
        </w:rPr>
        <w:t xml:space="preserve">声左右</w:t>
      </w:r>
      <w:r>
        <w:rPr>
          <w:rFonts w:hint="eastAsia" w:asciiTheme="minorEastAsia" w:hAnsiTheme="minorEastAsia" w:eastAsiaTheme="minorEastAsia"/>
          <w:sz w:val="24"/>
          <w:szCs w:val="24"/>
        </w:rPr>
        <w:t xml:space="preserve">通道、</w:t>
      </w:r>
      <w:r>
        <w:rPr>
          <w:rFonts w:hint="eastAsia" w:asciiTheme="minorEastAsia" w:hAnsiTheme="minorEastAsia" w:eastAsiaTheme="minorEastAsia"/>
          <w:sz w:val="24"/>
          <w:szCs w:val="24"/>
        </w:rPr>
        <w:t xml:space="preserve">光左右</w:t>
      </w:r>
      <w:r>
        <w:rPr>
          <w:rFonts w:hint="eastAsia" w:asciiTheme="minorEastAsia" w:hAnsiTheme="minorEastAsia" w:eastAsiaTheme="minorEastAsia"/>
          <w:sz w:val="24"/>
          <w:szCs w:val="24"/>
        </w:rPr>
        <w:t xml:space="preserve">通道能同步、交叉、前后、左右等模式；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2、▲声波调制频率范围：模拟四种脑电波，载波频率分为白噪音和音频两种，且音频频率可通过操作面板“音频调节键”调节；可自定义无数种模式，满足个性化需求；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3、音频及混响输出：路数8路，信号功率≤8 mw, 频响100Hz-5kHz，不劣于-6dB;</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4、治疗电脉冲输出：8对可调输出；频率1.2Hz±5%，脉宽1ms±5%,幅值0-130±10，分16级可调；</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5、声、光、电治疗可主机直接8-12路输出，扩展器线缆长度可按用户的使用环境要求定制；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6、三种疗法协同：声光牵引脑波同步疗法、音乐疗法、电刺激（经皮电刺激TENS、经头颅电刺激CES）疗法；</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7、保证用户的产品能获得不断的技术升级。</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品目六：数字化多功能脑电图仪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一、性能要求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用途：用于脑电图（EEG）采集、监测与分析。</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二、性能参数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（一）硬件参数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1、放大器</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1)32通道脑电放大器；支持病人事件信号输入，具备 1 </w:t>
      </w:r>
      <w:r>
        <w:rPr>
          <w:rFonts w:hint="eastAsia" w:asciiTheme="minorEastAsia" w:hAnsiTheme="minorEastAsia" w:eastAsiaTheme="minorEastAsia"/>
          <w:sz w:val="24"/>
          <w:szCs w:val="24"/>
        </w:rPr>
        <w:t xml:space="preserve">个</w:t>
      </w:r>
      <w:r>
        <w:rPr>
          <w:rFonts w:hint="eastAsia" w:asciiTheme="minorEastAsia" w:hAnsiTheme="minorEastAsia" w:eastAsiaTheme="minorEastAsia"/>
          <w:sz w:val="24"/>
          <w:szCs w:val="24"/>
        </w:rPr>
        <w:t xml:space="preserve">专用血氧信号扩展通道及 4 </w:t>
      </w:r>
      <w:r>
        <w:rPr>
          <w:rFonts w:hint="eastAsia" w:asciiTheme="minorEastAsia" w:hAnsiTheme="minorEastAsia" w:eastAsiaTheme="minorEastAsia"/>
          <w:sz w:val="24"/>
          <w:szCs w:val="24"/>
        </w:rPr>
        <w:t xml:space="preserve">个</w:t>
      </w:r>
      <w:r>
        <w:rPr>
          <w:rFonts w:hint="eastAsia" w:asciiTheme="minorEastAsia" w:hAnsiTheme="minorEastAsia" w:eastAsiaTheme="minorEastAsia"/>
          <w:sz w:val="24"/>
          <w:szCs w:val="24"/>
        </w:rPr>
        <w:t xml:space="preserve"> DC 输入通道；</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2)▲采样率：最高 10000Hz，支持全通道 10000Hz 采样率数据采集；</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3)采样分辨率及精度（AD转换）： 24bit；</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4)耐极化电压：±750mV；</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差模输入阻抗</w:t>
      </w:r>
      <w:r>
        <w:rPr>
          <w:rFonts w:hint="eastAsia" w:asciiTheme="minorEastAsia" w:hAnsiTheme="minorEastAsia" w:eastAsiaTheme="minorEastAsia"/>
          <w:sz w:val="24"/>
          <w:szCs w:val="24"/>
        </w:rPr>
        <w:t xml:space="preserve">: ≥200MΩ；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6)★共模抑制比：≥123dB；</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7)▲噪声电平：≤1.0μV p-p；</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8)▲带宽： 0.08Hz–900Hz；</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9)▲幅频特性：0.3Hz~150Hz，偏差不超过﹢5%~﹣10%；</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10)具备双阻抗检测功能：用户可在硬件端或软件端发起阻抗检测操作，支持设定多级阻抗参考值（2 kΩ、5 kΩ、10 kΩ、20 kΩ、50 kΩ），阈值设置方式灵活。当检测值超出所设定范围时，系统将以显著颜色标识对应通道。</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2、闪光刺激组件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1）▲配备滤光片插槽，支持更换不同滤光片，提供多种颜色或图案的特异性光刺激；</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2）可调节闪光刺激参数，包括刺激模式、刺激频率（1-60Hz，步进1Hz）、刺激时间及间隔时间等。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（二）软件功能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1)电压测量：误差不超过±10%；</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2)时间常数：0.03s~0.1s 误差不超过±40%；大于0.1s 误差不超过±20%；</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3)灵敏度：OFF、(1、2、3、5、7、10、15、20、30、50、75、100、150、200)μV/mm；</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4)时间常数RC：(0.001、0.003、0.03、0.1、0.3、0.6、1、2)s；</w:t>
      </w:r>
      <w:r>
        <w:rPr>
          <w:rFonts w:hint="eastAsia" w:asciiTheme="minorEastAsia" w:hAnsiTheme="minorEastAsia" w:eastAsiaTheme="minorEastAsia"/>
          <w:sz w:val="24"/>
          <w:szCs w:val="24"/>
        </w:rPr>
        <w:t xml:space="preserve">或低切滤波</w:t>
      </w:r>
      <w:r>
        <w:rPr>
          <w:rFonts w:hint="eastAsia" w:asciiTheme="minorEastAsia" w:hAnsiTheme="minorEastAsia" w:eastAsiaTheme="minorEastAsia"/>
          <w:sz w:val="24"/>
          <w:szCs w:val="24"/>
        </w:rPr>
        <w:t xml:space="preserve">（0.08、0.16、0.27、0.53、1.6、5.3、53、160）Hz；</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高切滤波器</w:t>
      </w:r>
      <w:r>
        <w:rPr>
          <w:rFonts w:hint="eastAsia" w:asciiTheme="minorEastAsia" w:hAnsiTheme="minorEastAsia" w:eastAsiaTheme="minorEastAsia"/>
          <w:sz w:val="24"/>
          <w:szCs w:val="24"/>
        </w:rPr>
        <w:t xml:space="preserve">：(15、30、35、50、60、70、120、300)Hz；</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6)交流滤波器（陷波滤波器)：50Hz或者60Hz；</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7)波形扫描速度： 4 秒、5 秒、6 秒、8 秒、10 秒、15 秒、20 秒、30 秒、</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60 秒、5 分/页、3cm/s或自定义 ；</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8)波形回放：支持快速翻页、1/10翻页、自动翻页、自动播放，支持指定时间或事件跳转；快速翻页：支持最高150倍</w:t>
      </w:r>
      <w:r>
        <w:rPr>
          <w:rFonts w:hint="eastAsia" w:asciiTheme="minorEastAsia" w:hAnsiTheme="minorEastAsia" w:eastAsiaTheme="minorEastAsia"/>
          <w:sz w:val="24"/>
          <w:szCs w:val="24"/>
        </w:rPr>
        <w:t xml:space="preserve">速快速</w:t>
      </w:r>
      <w:r>
        <w:rPr>
          <w:rFonts w:hint="eastAsia" w:asciiTheme="minorEastAsia" w:hAnsiTheme="minorEastAsia" w:eastAsiaTheme="minorEastAsia"/>
          <w:sz w:val="24"/>
          <w:szCs w:val="24"/>
        </w:rPr>
        <w:t xml:space="preserve">翻页，并提供不少于14个档位可选；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9)导联：支持导联显示、隐藏、关闭和冻结、添加注释；</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 重参考方式：支持多种参考设置选项，包括 AV、</w:t>
      </w:r>
      <w:r>
        <w:rPr>
          <w:rFonts w:hint="eastAsia" w:asciiTheme="minorEastAsia" w:hAnsiTheme="minorEastAsia" w:eastAsiaTheme="minorEastAsia"/>
          <w:sz w:val="24"/>
          <w:szCs w:val="24"/>
        </w:rPr>
        <w:t xml:space="preserve">Aav</w:t>
      </w:r>
      <w:r>
        <w:rPr>
          <w:rFonts w:hint="eastAsia" w:asciiTheme="minorEastAsia" w:hAnsiTheme="minorEastAsia" w:eastAsiaTheme="minorEastAsia"/>
          <w:sz w:val="24"/>
          <w:szCs w:val="24"/>
        </w:rPr>
        <w:t xml:space="preserve">、0V、SD 及 OFF；</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11)导联配置： 预设5套组合，可自定义13套组合；</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12)校准电压： (2、5、10、20、50、100、200、500、1000)μV；</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13)校准信号：0.25 Hz方波或10 Hz正弦波，自动/手动校准模式；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14)波形测量：任意波形局部时间/振幅/频率的自动测量；动态定规尺，自动调节频率和波幅最佳测量范围；时间振幅测量尺，方便测量单个波峰的频率、振幅；</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15)波形对比：通过拖曳可叠加两导联进行波形对称性对比;</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16)事件标记：支持事件名称自定义编辑功能，支持事件跳转；</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17)支持自定义波段功率分析、幅值分析及功率比分析，涵盖</w:t>
      </w:r>
      <w:r>
        <w:rPr>
          <w:rFonts w:hint="eastAsia" w:asciiTheme="minorEastAsia" w:hAnsiTheme="minorEastAsia" w:eastAsiaTheme="minorEastAsia"/>
          <w:sz w:val="24"/>
          <w:szCs w:val="24"/>
        </w:rPr>
        <w:t xml:space="preserve">aEEG</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cDSA</w:t>
      </w:r>
      <w:r>
        <w:rPr>
          <w:rFonts w:hint="eastAsia" w:asciiTheme="minorEastAsia" w:hAnsiTheme="minorEastAsia" w:eastAsiaTheme="minorEastAsia"/>
          <w:sz w:val="24"/>
          <w:szCs w:val="24"/>
        </w:rPr>
        <w:t xml:space="preserve">、峰值频率、边值频率、中值频率、DAR、DTABR、绝对功率趋势、相对功率趋势、总功率趋势、爆发抑制（频率、抑制比、间期）、相对α、BSI、包络趋势、光谱熵、尖棘波、RMS、α到β等多项指数统计与计算功能；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18)自定义10组显示标签，可以自由组合不同导联的不同定量功能，并通过标签一键切换显示；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19)脑电地形图显示：支持多种地形图显示方式，包括频率地形图与电位地形图，可显示色阶能量值，支持动态播放；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20)实时回放：在检/监测记录同时，能实时查看、分析当前病人已采集记录的脑电数据、血氧饱和度和脉率数据；</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21)EDF格式数据保存：无需专用回放软件即可播放脑电数据，辅助教学；</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22)▲过度换气诱发试验语音提示：提供语音播报指导患者进行过度换气诱发试</w:t>
      </w:r>
      <w:r>
        <w:rPr>
          <w:rFonts w:hint="eastAsia" w:asciiTheme="minorEastAsia" w:hAnsiTheme="minorEastAsia" w:eastAsiaTheme="minorEastAsia"/>
          <w:sz w:val="24"/>
          <w:szCs w:val="24"/>
        </w:rPr>
        <w:t xml:space="preserve">验；</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23)断电自动保存。</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jc w:val="center"/>
        <w:spacing w:line="360" w:lineRule="auto"/>
        <w:rPr>
          <w:rFonts w:hint="eastAsia" w:asciiTheme="minorEastAsia" w:hAnsiTheme="minorEastAsia" w:eastAsiaTheme="minorEastAsia"/>
          <w:b/>
          <w:bCs/>
          <w:szCs w:val="28"/>
        </w:rPr>
      </w:pPr>
      <w:r>
        <w:rPr>
          <w:rFonts w:asciiTheme="minorEastAsia" w:hAnsiTheme="minorEastAsia" w:eastAsiaTheme="minorEastAsia"/>
          <w:b/>
          <w:bCs/>
          <w:szCs w:val="28"/>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品目七：无创呼吸机</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1、原装进口</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2、全中文菜单，操作简单。</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空氧混合</w:t>
      </w:r>
      <w:r>
        <w:rPr>
          <w:rFonts w:hint="eastAsia" w:asciiTheme="minorEastAsia" w:hAnsiTheme="minorEastAsia" w:eastAsiaTheme="minorEastAsia"/>
          <w:sz w:val="24"/>
          <w:szCs w:val="24"/>
        </w:rPr>
        <w:t xml:space="preserve">：氧气接入机器涡轮箱（非接入面罩、管道），有效解决高吸气压力时，面罩或管道给氧，氧饱和度上不去的问题。</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4、★最大流速：≥280 L/min</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5、★最大漏气补偿量：≥150 L/min</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6、★设置目标潮气量，范围200-2800ml</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7、传感器上感应管沿管道伸到面罩中，近端感应，同步性更好。近端测压，消除设定压力与实际治疗压力的偏差。</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8、监测人机对抗程度，显示吸气同步率和呼气同步率</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9、流量—时间曲线、容量—时间曲线实时分析功能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10、自动记录病人使用时间和使用次数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11、声光双重报警功能：高压、低压、漏气、低潮气量、断电、温度过高、管道脱落、机械故障等，并显示和记录各报警事件的类型、发生时间和持续时间</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12、功能显示：模式、压力、频率、潮气量、漏气量、分钟通气量、吸气时间、呼气时间、</w:t>
      </w:r>
      <w:r>
        <w:rPr>
          <w:rFonts w:hint="eastAsia" w:asciiTheme="minorEastAsia" w:hAnsiTheme="minorEastAsia" w:eastAsiaTheme="minorEastAsia"/>
          <w:sz w:val="24"/>
          <w:szCs w:val="24"/>
        </w:rPr>
        <w:t xml:space="preserve">吸呼比等</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13、机器硬件自检和故障指示功能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14、低噪音（31dB/ 20hpa）</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27"/>
        <w:jc w:val="center"/>
        <w:spacing w:line="360" w:lineRule="auto"/>
        <w:rPr>
          <w:rFonts w:hint="eastAsia" w:asciiTheme="minorEastAsia" w:hAnsiTheme="minorEastAsia" w:eastAsiaTheme="minorEastAsia"/>
          <w:b/>
          <w:bCs/>
          <w:szCs w:val="28"/>
        </w:rPr>
      </w:pPr>
      <w:r>
        <w:rPr>
          <w:rFonts w:asciiTheme="minorEastAsia" w:hAnsiTheme="minorEastAsia" w:eastAsiaTheme="minorEastAsia"/>
          <w:b/>
          <w:bCs/>
          <w:szCs w:val="28"/>
        </w:rPr>
        <w:br w:type="page" w:clear="all"/>
      </w:r>
      <w:r/>
    </w:p>
    <w:p>
      <w:pPr>
        <w:pStyle w:val="827"/>
        <w:jc w:val="center"/>
        <w:spacing w:line="360" w:lineRule="auto"/>
        <w:rPr>
          <w:rFonts w:hint="eastAsia" w:asciiTheme="minorEastAsia" w:hAnsiTheme="minorEastAsia" w:eastAsiaTheme="minorEastAsia"/>
          <w:b/>
          <w:bCs/>
          <w:szCs w:val="28"/>
        </w:rPr>
      </w:pPr>
      <w:r>
        <w:rPr>
          <w:rFonts w:hint="eastAsia" w:asciiTheme="minorEastAsia" w:hAnsiTheme="minorEastAsia" w:eastAsiaTheme="minorEastAsia"/>
          <w:b/>
          <w:bCs/>
          <w:szCs w:val="28"/>
        </w:rPr>
        <w:t xml:space="preserve">品目八：医用心理测评系统</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 ▲系统数据库包含量表：不少于260个</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至少包括痴呆简易筛选量表(BSSD)、不自主运动评定量表、阿尔茨海默病筛查表（AD8）、</w:t>
      </w:r>
      <w:r>
        <w:rPr>
          <w:rFonts w:hint="eastAsia" w:asciiTheme="minorEastAsia" w:hAnsiTheme="minorEastAsia" w:eastAsiaTheme="minorEastAsia"/>
          <w:sz w:val="24"/>
          <w:szCs w:val="24"/>
        </w:rPr>
        <w:t xml:space="preserve">Hachinski</w:t>
      </w:r>
      <w:r>
        <w:rPr>
          <w:rFonts w:hint="eastAsia" w:asciiTheme="minorEastAsia" w:hAnsiTheme="minorEastAsia" w:eastAsiaTheme="minorEastAsia"/>
          <w:sz w:val="24"/>
          <w:szCs w:val="24"/>
        </w:rPr>
        <w:t xml:space="preserve">缺血量表（HIS）、简明精神病评定量表(BPRS)、简易智力检测量表（AMTS）、多伦多述情感障碍量表（TAS-20）、多伦多述情感障碍量表（TAS-26）、认知情绪调节问卷（CERQ）、瑞</w:t>
      </w:r>
      <w:r>
        <w:rPr>
          <w:rFonts w:hint="eastAsia" w:asciiTheme="minorEastAsia" w:hAnsiTheme="minorEastAsia" w:eastAsiaTheme="minorEastAsia"/>
          <w:sz w:val="24"/>
          <w:szCs w:val="24"/>
        </w:rPr>
        <w:t xml:space="preserve">文高级</w:t>
      </w:r>
      <w:r>
        <w:rPr>
          <w:rFonts w:hint="eastAsia" w:asciiTheme="minorEastAsia" w:hAnsiTheme="minorEastAsia" w:eastAsiaTheme="minorEastAsia"/>
          <w:sz w:val="24"/>
          <w:szCs w:val="24"/>
        </w:rPr>
        <w:t xml:space="preserve">推理测验（APM）、社会功能缺陷筛选量表（SDSS）、认知偏差问卷（CBQ）、眩晕障碍量表(DHI)、神经精神问卷（NPI）、额叶行为问卷（FBI）、个人和社会功能量表（PSP）、功能独立性评定FIM量表、老年人运动功能量表（GLFS-25）、功能活动调查表（FAQ）、美国国立卫生院神经功能缺损评分、临床痴呆评定量表(CDR)、MES记忆与执行筛查量表、老年人认知功能筛查量表（CASI）、蒙特利尔认知评估量表（MoCA）、阿尔兹海默病评定量表-认知分量表（ADAS-cog）、</w:t>
      </w:r>
      <w:r>
        <w:rPr>
          <w:rFonts w:hint="eastAsia" w:asciiTheme="minorEastAsia" w:hAnsiTheme="minorEastAsia" w:eastAsiaTheme="minorEastAsia"/>
          <w:sz w:val="24"/>
          <w:szCs w:val="24"/>
        </w:rPr>
        <w:t xml:space="preserve">Rivermead</w:t>
      </w:r>
      <w:r>
        <w:rPr>
          <w:rFonts w:hint="eastAsia" w:asciiTheme="minorEastAsia" w:hAnsiTheme="minorEastAsia" w:eastAsiaTheme="minorEastAsia"/>
          <w:sz w:val="24"/>
          <w:szCs w:val="24"/>
        </w:rPr>
        <w:t xml:space="preserve">行为记忆功能评定表、常识记忆注意力测验、简明心理状况测验（MMSE）、轻度行为损害检查表（MBI-C）、Cohen-Mansfield激越问卷（CMAI）、总体衰退量表、康奈尔痴呆抑郁量表、严重损害量表（SIB）、额叶功能评定量表、执行功能失常问卷、威斯康星卡片分类测验、SDMT符号数字模式测验、Boston命名测验、言语流畅性测验、ACVLT听觉词语学习测验、短</w:t>
      </w:r>
      <w:r>
        <w:rPr>
          <w:rFonts w:hint="eastAsia" w:asciiTheme="minorEastAsia" w:hAnsiTheme="minorEastAsia" w:eastAsiaTheme="minorEastAsia"/>
          <w:sz w:val="24"/>
          <w:szCs w:val="24"/>
        </w:rPr>
        <w:t xml:space="preserve">时数字</w:t>
      </w:r>
      <w:r>
        <w:rPr>
          <w:rFonts w:hint="eastAsia" w:asciiTheme="minorEastAsia" w:hAnsiTheme="minorEastAsia" w:eastAsiaTheme="minorEastAsia"/>
          <w:sz w:val="24"/>
          <w:szCs w:val="24"/>
        </w:rPr>
        <w:t xml:space="preserve">记忆测验、</w:t>
      </w:r>
      <w:r>
        <w:rPr>
          <w:rFonts w:hint="eastAsia" w:asciiTheme="minorEastAsia" w:hAnsiTheme="minorEastAsia" w:eastAsiaTheme="minorEastAsia"/>
          <w:sz w:val="24"/>
          <w:szCs w:val="24"/>
        </w:rPr>
        <w:t xml:space="preserve">画钟试验</w:t>
      </w:r>
      <w:r>
        <w:rPr>
          <w:rFonts w:hint="eastAsia" w:asciiTheme="minorEastAsia" w:hAnsiTheme="minorEastAsia" w:eastAsiaTheme="minorEastAsia"/>
          <w:sz w:val="24"/>
          <w:szCs w:val="24"/>
        </w:rPr>
        <w:t xml:space="preserve">、舒尔特方格、连线测验、Stroop</w:t>
      </w:r>
      <w:r>
        <w:rPr>
          <w:rFonts w:hint="eastAsia" w:asciiTheme="minorEastAsia" w:hAnsiTheme="minorEastAsia" w:eastAsiaTheme="minorEastAsia"/>
          <w:sz w:val="24"/>
          <w:szCs w:val="24"/>
        </w:rPr>
        <w:t xml:space="preserve">色词测验</w:t>
      </w:r>
      <w:r>
        <w:rPr>
          <w:rFonts w:hint="eastAsia" w:asciiTheme="minorEastAsia" w:hAnsiTheme="minorEastAsia" w:eastAsiaTheme="minorEastAsia"/>
          <w:sz w:val="24"/>
          <w:szCs w:val="24"/>
        </w:rPr>
        <w:t xml:space="preserve">（心理范式）等。（提供系统功能截图）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 ▲可对重复分配的任务进行一键去重，避免误操作。（提供系统功能截图）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3、▲量表按照所有量表、条目分类等进行管理，方便快速选择或者搜索量表。每个量表前面均表明量表总题数量，选择量表后自动统计所选自评及他评量表的总题目数量。（提供系统量表截图）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4、个人测评：患者</w:t>
      </w:r>
      <w:r>
        <w:rPr>
          <w:rFonts w:hint="eastAsia" w:asciiTheme="minorEastAsia" w:hAnsiTheme="minorEastAsia" w:eastAsiaTheme="minorEastAsia"/>
          <w:sz w:val="24"/>
          <w:szCs w:val="24"/>
        </w:rPr>
        <w:t xml:space="preserve">扫码注册</w:t>
      </w:r>
      <w:r>
        <w:rPr>
          <w:rFonts w:hint="eastAsia" w:asciiTheme="minorEastAsia" w:hAnsiTheme="minorEastAsia" w:eastAsiaTheme="minorEastAsia"/>
          <w:sz w:val="24"/>
          <w:szCs w:val="24"/>
        </w:rPr>
        <w:t xml:space="preserve">或者医生录入患者信息后，医生可选择量表分配任务，</w:t>
      </w:r>
      <w:r>
        <w:rPr>
          <w:rFonts w:hint="eastAsia" w:asciiTheme="minorEastAsia" w:hAnsiTheme="minorEastAsia" w:eastAsiaTheme="minorEastAsia"/>
          <w:sz w:val="24"/>
          <w:szCs w:val="24"/>
        </w:rPr>
        <w:t xml:space="preserve">患者扫码测评</w:t>
      </w:r>
      <w:r>
        <w:rPr>
          <w:rFonts w:hint="eastAsia" w:asciiTheme="minorEastAsia" w:hAnsiTheme="minorEastAsia" w:eastAsiaTheme="minorEastAsia"/>
          <w:sz w:val="24"/>
          <w:szCs w:val="24"/>
        </w:rPr>
        <w:t xml:space="preserve">对应任务。</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5、个人管理：支持新建个人，批量添加任务，批量删除个人信息，添加任务时由医生设置患者端查看报告或隐藏报告；量表按照所有量表、自评、他怕量表进行快速选择分配。</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6、个人报告：支持批量下载、批量删除个人测评报告。系统提供个性化报告，医院可根据临床实际需求自行选择相应报告模块，形成</w:t>
      </w:r>
      <w:r>
        <w:rPr>
          <w:rFonts w:hint="eastAsia" w:asciiTheme="minorEastAsia" w:hAnsiTheme="minorEastAsia" w:eastAsiaTheme="minorEastAsia"/>
          <w:sz w:val="24"/>
          <w:szCs w:val="24"/>
        </w:rPr>
        <w:t xml:space="preserve">详版报告</w:t>
      </w:r>
      <w:r>
        <w:rPr>
          <w:rFonts w:hint="eastAsia" w:asciiTheme="minorEastAsia" w:hAnsiTheme="minorEastAsia" w:eastAsiaTheme="minorEastAsia"/>
          <w:sz w:val="24"/>
          <w:szCs w:val="24"/>
        </w:rPr>
        <w:t xml:space="preserve">和简版报告。</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7、团体测试：新增团体（团体名称、团体人数），医生可选择量表添加团体任务，可以生成对应团体的二维码，患者</w:t>
      </w:r>
      <w:r>
        <w:rPr>
          <w:rFonts w:hint="eastAsia" w:asciiTheme="minorEastAsia" w:hAnsiTheme="minorEastAsia" w:eastAsiaTheme="minorEastAsia"/>
          <w:sz w:val="24"/>
          <w:szCs w:val="24"/>
        </w:rPr>
        <w:t xml:space="preserve">扫码注册</w:t>
      </w:r>
      <w:r>
        <w:rPr>
          <w:rFonts w:hint="eastAsia" w:asciiTheme="minorEastAsia" w:hAnsiTheme="minorEastAsia" w:eastAsiaTheme="minorEastAsia"/>
          <w:sz w:val="24"/>
          <w:szCs w:val="24"/>
        </w:rPr>
        <w:t xml:space="preserve">进入团体或者批量导入患者信息进行注册，开启团体二维码，</w:t>
      </w:r>
      <w:r>
        <w:rPr>
          <w:rFonts w:hint="eastAsia" w:asciiTheme="minorEastAsia" w:hAnsiTheme="minorEastAsia" w:eastAsiaTheme="minorEastAsia"/>
          <w:sz w:val="24"/>
          <w:szCs w:val="24"/>
        </w:rPr>
        <w:t xml:space="preserve">患者扫码测评</w:t>
      </w:r>
      <w:r>
        <w:rPr>
          <w:rFonts w:hint="eastAsia" w:asciiTheme="minorEastAsia" w:hAnsiTheme="minorEastAsia" w:eastAsiaTheme="minorEastAsia"/>
          <w:sz w:val="24"/>
          <w:szCs w:val="24"/>
        </w:rPr>
        <w:t xml:space="preserve">对应任务。</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8、团体管理：支持团体的删除，团体的人员管理，新增个人，增加团体人数。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9、团体任务：支持团体</w:t>
      </w:r>
      <w:r>
        <w:rPr>
          <w:rFonts w:hint="eastAsia" w:asciiTheme="minorEastAsia" w:hAnsiTheme="minorEastAsia" w:eastAsiaTheme="minorEastAsia"/>
          <w:sz w:val="24"/>
          <w:szCs w:val="24"/>
        </w:rPr>
        <w:t xml:space="preserve">二维码的</w:t>
      </w:r>
      <w:r>
        <w:rPr>
          <w:rFonts w:hint="eastAsia" w:asciiTheme="minorEastAsia" w:hAnsiTheme="minorEastAsia" w:eastAsiaTheme="minorEastAsia"/>
          <w:sz w:val="24"/>
          <w:szCs w:val="24"/>
        </w:rPr>
        <w:t xml:space="preserve">开启与停用，可设置团体</w:t>
      </w:r>
      <w:r>
        <w:rPr>
          <w:rFonts w:hint="eastAsia" w:asciiTheme="minorEastAsia" w:hAnsiTheme="minorEastAsia" w:eastAsiaTheme="minorEastAsia"/>
          <w:sz w:val="24"/>
          <w:szCs w:val="24"/>
        </w:rPr>
        <w:t xml:space="preserve">二维码的</w:t>
      </w:r>
      <w:r>
        <w:rPr>
          <w:rFonts w:hint="eastAsia" w:asciiTheme="minorEastAsia" w:hAnsiTheme="minorEastAsia" w:eastAsiaTheme="minorEastAsia"/>
          <w:sz w:val="24"/>
          <w:szCs w:val="24"/>
        </w:rPr>
        <w:t xml:space="preserve">有效期。</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10、团体报告：支持批量下载团体测评报告，报告格式支持PDF,WORD；团体报告界面可查看团体名称、批次、已完成人数、总人数、预警人数等信息。</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11、预警管理：对于心理指标或测量分数异常，具备预警提示功能，加强对于心理异常者的敏感度，及时干预。分5种不同级别程度的预警，根据预警显示的颜色来进行筛选和统计，</w:t>
      </w:r>
      <w:r>
        <w:rPr>
          <w:rFonts w:hint="eastAsia" w:asciiTheme="minorEastAsia" w:hAnsiTheme="minorEastAsia" w:eastAsiaTheme="minorEastAsia"/>
          <w:sz w:val="24"/>
          <w:szCs w:val="24"/>
        </w:rPr>
        <w:t xml:space="preserve">支持仅</w:t>
      </w:r>
      <w:r>
        <w:rPr>
          <w:rFonts w:hint="eastAsia" w:asciiTheme="minorEastAsia" w:hAnsiTheme="minorEastAsia" w:eastAsiaTheme="minorEastAsia"/>
          <w:sz w:val="24"/>
          <w:szCs w:val="24"/>
        </w:rPr>
        <w:t xml:space="preserve">预警报告下载、预览、批量下载功能。</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12、档案管理：为便于统筹管理患者病历，助力</w:t>
      </w:r>
      <w:r>
        <w:rPr>
          <w:rFonts w:hint="eastAsia" w:asciiTheme="minorEastAsia" w:hAnsiTheme="minorEastAsia" w:eastAsiaTheme="minorEastAsia"/>
          <w:sz w:val="24"/>
          <w:szCs w:val="24"/>
        </w:rPr>
        <w:t xml:space="preserve">医</w:t>
      </w:r>
      <w:r>
        <w:rPr>
          <w:rFonts w:hint="eastAsia" w:asciiTheme="minorEastAsia" w:hAnsiTheme="minorEastAsia" w:eastAsiaTheme="minorEastAsia"/>
          <w:sz w:val="24"/>
          <w:szCs w:val="24"/>
        </w:rPr>
        <w:t xml:space="preserve">保结算，可一键导出患者所有测评数据形成健康档案。可根据实际需要</w:t>
      </w:r>
      <w:r>
        <w:rPr>
          <w:rFonts w:hint="eastAsia" w:asciiTheme="minorEastAsia" w:hAnsiTheme="minorEastAsia" w:eastAsiaTheme="minorEastAsia"/>
          <w:sz w:val="24"/>
          <w:szCs w:val="24"/>
        </w:rPr>
        <w:t xml:space="preserve">选择详版档案</w:t>
      </w:r>
      <w:r>
        <w:rPr>
          <w:rFonts w:hint="eastAsia" w:asciiTheme="minorEastAsia" w:hAnsiTheme="minorEastAsia" w:eastAsiaTheme="minorEastAsia"/>
          <w:sz w:val="24"/>
          <w:szCs w:val="24"/>
        </w:rPr>
        <w:t xml:space="preserve">和简版档案；同时提供筛选功能，方便查找。（提供系统功能截图）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用药管理：内置上百种神经、精神科常用药物清单，医生可为患者添加用药记录，便于了解患者综合治疗情况；用药可根据输入名称模糊搜索，填写名称后可自动填入注意事项、禁忌证等内容。（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14、统计分析：提供多种类型的统计数据，满足不同用户需求。系统支持进行测评统计、科研统计、绩效统计、量表统计。测试数据可以导入到专业统计软件或以 Excel 格式导出，进行更深入的统计分析；可以对系统的使用情况和工作绩效进行自动统计。</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15、▲科研统计:支持添加科研组，并根据不同的科研组、性别、年龄、文化程度等人口学因素对数据进行筛选。（提供系统功能截图）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16、绩效统计:支持按照时间段筛选每月量表的任务数量。</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17、量表统计：支持按照时间段查询或者从导出不同量表的使用次数。</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18、科研数据导出：支持科研数据及结果导出，可与统计软件直接对接；支持对人口学资料、预警人数、疾病分类与占比进行自动统计。</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19、开放方案：可自行创建评估方案，便于个性化治疗。</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20、系统管理：内置系统帮助，医生解决日常操作可能出现的疑问。</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21、断点续测：支持患者端测评中途退出，并保存测评数据，减少再次测评耗时。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人性化设置：量表库中的量表顺序根据本账号量表使用频率进行排序；支持报告修改功能，医生可依据与受测者的面诊情况及自身治疗经验，对受测者的系统评估报告进行个性化的修改；报告管理、预警管理、档案管理（</w:t>
      </w:r>
      <w:r>
        <w:rPr>
          <w:rFonts w:hint="eastAsia" w:asciiTheme="minorEastAsia" w:hAnsiTheme="minorEastAsia" w:eastAsiaTheme="minorEastAsia"/>
          <w:sz w:val="24"/>
          <w:szCs w:val="24"/>
        </w:rPr>
        <w:t xml:space="preserve">详版档案</w:t>
      </w:r>
      <w:r>
        <w:rPr>
          <w:rFonts w:hint="eastAsia" w:asciiTheme="minorEastAsia" w:hAnsiTheme="minorEastAsia" w:eastAsiaTheme="minorEastAsia"/>
          <w:sz w:val="24"/>
          <w:szCs w:val="24"/>
        </w:rPr>
        <w:t xml:space="preserve">）首次点击预览/下载，按钮会变色，便于识别</w:t>
      </w:r>
      <w:r>
        <w:rPr>
          <w:rFonts w:hint="eastAsia" w:asciiTheme="minorEastAsia" w:hAnsiTheme="minorEastAsia" w:eastAsiaTheme="minorEastAsia"/>
          <w:sz w:val="24"/>
          <w:szCs w:val="24"/>
        </w:rPr>
        <w:t xml:space="preserve">已操作</w:t>
      </w:r>
      <w:r>
        <w:rPr>
          <w:rFonts w:hint="eastAsia" w:asciiTheme="minorEastAsia" w:hAnsiTheme="minorEastAsia" w:eastAsiaTheme="minorEastAsia"/>
          <w:sz w:val="24"/>
          <w:szCs w:val="24"/>
        </w:rPr>
        <w:t xml:space="preserve">的文件；患者</w:t>
      </w:r>
      <w:r>
        <w:rPr>
          <w:rFonts w:hint="eastAsia" w:asciiTheme="minorEastAsia" w:hAnsiTheme="minorEastAsia" w:eastAsiaTheme="minorEastAsia"/>
          <w:sz w:val="24"/>
          <w:szCs w:val="24"/>
        </w:rPr>
        <w:t xml:space="preserve">端提供语音读</w:t>
      </w:r>
      <w:r>
        <w:rPr>
          <w:rFonts w:hint="eastAsia" w:asciiTheme="minorEastAsia" w:hAnsiTheme="minorEastAsia" w:eastAsiaTheme="minorEastAsia"/>
          <w:sz w:val="24"/>
          <w:szCs w:val="24"/>
        </w:rPr>
        <w:t xml:space="preserve">题及字体放大功能，满足临床的个性化需求。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23、搜索：系统支持根据姓名、性别、出生日期等对数据进行检索。</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24、综合报告：可出具以个人批次任务为单位的综合报告。（提供系统功能截图）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25、▲针对添加任务过程中出现的不符合患者测评的量表，可自动进行筛选并给出说明。（提供系统功能截图）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26、报告格式多样：提供WORD、PDF两种格式的测查报告。</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27、▲自主设置</w:t>
      </w:r>
      <w:r>
        <w:rPr>
          <w:rFonts w:hint="eastAsia" w:asciiTheme="minorEastAsia" w:hAnsiTheme="minorEastAsia" w:eastAsiaTheme="minorEastAsia"/>
          <w:sz w:val="24"/>
          <w:szCs w:val="24"/>
        </w:rPr>
        <w:t xml:space="preserve">详版报告</w:t>
      </w:r>
      <w:r>
        <w:rPr>
          <w:rFonts w:hint="eastAsia" w:asciiTheme="minorEastAsia" w:hAnsiTheme="minorEastAsia" w:eastAsiaTheme="minorEastAsia"/>
          <w:sz w:val="24"/>
          <w:szCs w:val="24"/>
        </w:rPr>
        <w:t xml:space="preserve">/档案内容：支持</w:t>
      </w:r>
      <w:r>
        <w:rPr>
          <w:rFonts w:hint="eastAsia" w:asciiTheme="minorEastAsia" w:hAnsiTheme="minorEastAsia" w:eastAsiaTheme="minorEastAsia"/>
          <w:sz w:val="24"/>
          <w:szCs w:val="24"/>
        </w:rPr>
        <w:t xml:space="preserve">详版报告</w:t>
      </w:r>
      <w:r>
        <w:rPr>
          <w:rFonts w:hint="eastAsia" w:asciiTheme="minorEastAsia" w:hAnsiTheme="minorEastAsia" w:eastAsiaTheme="minorEastAsia"/>
          <w:sz w:val="24"/>
          <w:szCs w:val="24"/>
        </w:rPr>
        <w:t xml:space="preserve">/档案自主设置，可以根据实际需要从测试目的、图片展示、测试时长、参考范围、重点提示、趋势图中选择相应的模块，组成相应报告/档案内容，可满足临床、科研等不同需求。（提供系统功能截图）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28、▲测试时</w:t>
      </w:r>
      <w:r>
        <w:rPr>
          <w:rFonts w:hint="eastAsia" w:asciiTheme="minorEastAsia" w:hAnsiTheme="minorEastAsia" w:eastAsiaTheme="minorEastAsia"/>
          <w:sz w:val="24"/>
          <w:szCs w:val="24"/>
        </w:rPr>
        <w:t xml:space="preserve">长显示</w:t>
      </w:r>
      <w:r>
        <w:rPr>
          <w:rFonts w:hint="eastAsia" w:asciiTheme="minorEastAsia" w:hAnsiTheme="minorEastAsia" w:eastAsiaTheme="minorEastAsia"/>
          <w:sz w:val="24"/>
          <w:szCs w:val="24"/>
        </w:rPr>
        <w:t xml:space="preserve">功能：系统可为测试结果的可信度提供参考，</w:t>
      </w:r>
      <w:r>
        <w:rPr>
          <w:rFonts w:hint="eastAsia" w:asciiTheme="minorEastAsia" w:hAnsiTheme="minorEastAsia" w:eastAsiaTheme="minorEastAsia"/>
          <w:sz w:val="24"/>
          <w:szCs w:val="24"/>
        </w:rPr>
        <w:t xml:space="preserve">医保收费更合规</w:t>
      </w:r>
      <w:r>
        <w:rPr>
          <w:rFonts w:hint="eastAsia" w:asciiTheme="minorEastAsia" w:hAnsiTheme="minorEastAsia" w:eastAsiaTheme="minorEastAsia"/>
          <w:sz w:val="24"/>
          <w:szCs w:val="24"/>
        </w:rPr>
        <w:t xml:space="preserve">。（提供系统功能截图）</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29、手机</w:t>
      </w:r>
      <w:r>
        <w:rPr>
          <w:rFonts w:hint="eastAsia" w:asciiTheme="minorEastAsia" w:hAnsiTheme="minorEastAsia" w:eastAsiaTheme="minorEastAsia"/>
          <w:sz w:val="24"/>
          <w:szCs w:val="24"/>
        </w:rPr>
        <w:t xml:space="preserve">端提供心晴计划</w:t>
      </w:r>
      <w:r>
        <w:rPr>
          <w:rFonts w:hint="eastAsia" w:asciiTheme="minorEastAsia" w:hAnsiTheme="minorEastAsia" w:eastAsiaTheme="minorEastAsia"/>
          <w:sz w:val="24"/>
          <w:szCs w:val="24"/>
        </w:rPr>
        <w:t xml:space="preserve">模块：包含助眠、解压、国乐、轻音乐及自然声等放松训练，对不同症状人群进行不同的放松调节。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30、手机</w:t>
      </w:r>
      <w:r>
        <w:rPr>
          <w:rFonts w:hint="eastAsia" w:asciiTheme="minorEastAsia" w:hAnsiTheme="minorEastAsia" w:eastAsiaTheme="minorEastAsia"/>
          <w:sz w:val="24"/>
          <w:szCs w:val="24"/>
        </w:rPr>
        <w:t xml:space="preserve">端提供</w:t>
      </w:r>
      <w:r>
        <w:rPr>
          <w:rFonts w:hint="eastAsia" w:asciiTheme="minorEastAsia" w:hAnsiTheme="minorEastAsia" w:eastAsiaTheme="minorEastAsia"/>
          <w:sz w:val="24"/>
          <w:szCs w:val="24"/>
        </w:rPr>
        <w:t xml:space="preserve">心理健康知识科普及趣味测验，帮助体检者提升心理健康水平。</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31、▲系统服务流程与数据格式符合并执行“中国心理学会心理学标准与服务研究委员会”所制定的国家标准，通过“中国心理学会心理学标准与服务研究委员会”专家委员会审核，并取得项目成果认证证书。（提供认证证书复印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32、★系统取得二类医疗器械注册证。（提供注册证复印件）</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33、▲企业每年不定期举行线下心理测量培训班。（提供至少一期培训班记录相关证明）</w:t>
      </w:r>
      <w:r/>
    </w:p>
    <w:p>
      <w:pPr>
        <w:jc w:val="left"/>
        <w:spacing w:line="360" w:lineRule="auto"/>
        <w:tabs>
          <w:tab w:val="left" w:pos="1260" w:leader="none"/>
        </w:tabs>
        <w:rPr>
          <w:rFonts w:hint="eastAsia" w:cs="宋体" w:asciiTheme="minorEastAsia" w:hAnsiTheme="minorEastAsia" w:eastAsiaTheme="minorEastAsia"/>
          <w:b/>
          <w:bCs/>
          <w:sz w:val="24"/>
          <w:szCs w:val="24"/>
        </w:rPr>
      </w:pPr>
      <w:r>
        <w:rPr>
          <w:rFonts w:cs="宋体" w:asciiTheme="minorEastAsia" w:hAnsiTheme="minorEastAsia" w:eastAsiaTheme="minorEastAsia"/>
          <w:b/>
          <w:bCs/>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2158"/>
        <w:gridCol w:w="5732"/>
      </w:tblGrid>
      <w:tr>
        <w:trPr>
          <w:jc w:val="center"/>
          <w:trHeight w:val="750"/>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交货期</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合同签订后一个月内</w:t>
            </w:r>
            <w:r/>
          </w:p>
        </w:tc>
      </w:tr>
      <w:tr>
        <w:trPr>
          <w:jc w:val="center"/>
          <w:trHeight w:val="867"/>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2</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6" w:type="pct"/>
            <w:vAlign w:val="center"/>
            <w:textDirection w:val="lrTb"/>
            <w:noWrap w:val="false"/>
          </w:tcPr>
          <w:p>
            <w:pPr>
              <w:pStyle w:val="827"/>
              <w:spacing w:line="360" w:lineRule="auto"/>
              <w:rPr>
                <w:rFonts w:hint="eastAsia" w:asciiTheme="minorEastAsia" w:hAnsiTheme="minorEastAsia" w:eastAsiaTheme="minorEastAsia"/>
                <w:sz w:val="24"/>
                <w:szCs w:val="24"/>
              </w:rPr>
            </w:pPr>
            <w:r>
              <w:rPr>
                <w:rFonts w:hint="eastAsia" w:ascii="宋体" w:hAnsi="宋体" w:eastAsia="宋体" w:cs="宋体"/>
                <w:bCs/>
                <w:sz w:val="24"/>
                <w:szCs w:val="24"/>
              </w:rPr>
              <w:t xml:space="preserve">1、所有设备质保要求不少于两年。</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2、对医院技术人员进行应用培训，直至操作人员会使用为止。</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3、设备交付使用后，定期对设备进行维护保养，在保修期内提供免费维护保养服务两次。</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4、保证所提供设备的配件</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年供货期，承诺期内保证配件需求。</w:t>
            </w:r>
            <w:r/>
          </w:p>
          <w:p>
            <w:pPr>
              <w:pStyle w:val="82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5、定期对机器清洁、性能测试及校准、必要的机械或电气的检查。</w:t>
            </w:r>
            <w:r/>
          </w:p>
        </w:tc>
      </w:tr>
      <w:tr>
        <w:trPr>
          <w:jc w:val="center"/>
          <w:trHeight w:val="810"/>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3</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交货地点</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泰兴市黄桥镇刘陈卫生院（泰兴市精神卫生中心）</w:t>
            </w:r>
            <w:r>
              <w:rPr>
                <w:rFonts w:hint="eastAsia" w:ascii="宋体" w:hAnsi="宋体" w:eastAsia="宋体" w:cs="宋体"/>
                <w:bCs/>
                <w:sz w:val="24"/>
                <w:szCs w:val="24"/>
              </w:rPr>
              <w:t xml:space="preserve">指定地点</w:t>
            </w:r>
            <w:r/>
          </w:p>
        </w:tc>
      </w:tr>
      <w:tr>
        <w:trPr>
          <w:jc w:val="center"/>
          <w:trHeight w:val="837"/>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237"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包装运输</w:t>
            </w:r>
            <w:r/>
          </w:p>
        </w:tc>
        <w:tc>
          <w:tcPr>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由供应商承担</w:t>
            </w:r>
            <w:r/>
          </w:p>
        </w:tc>
      </w:tr>
      <w:tr>
        <w:trPr>
          <w:jc w:val="center"/>
          <w:trHeight w:val="692"/>
        </w:trPr>
        <w:tc>
          <w:tcPr>
            <w:tcW w:w="475"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7" w:type="pct"/>
            <w:vAlign w:val="center"/>
            <w:textDirection w:val="lrTb"/>
            <w:noWrap w:val="false"/>
          </w:tcPr>
          <w:p>
            <w:pPr>
              <w:jc w:val="center"/>
              <w:spacing w:line="3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付款方式</w:t>
            </w:r>
            <w:r/>
          </w:p>
        </w:tc>
        <w:tc>
          <w:tcPr>
            <w:shd w:val="clear" w:color="auto" w:fill="ffffff" w:themeFill="background1"/>
            <w:tcW w:w="3286" w:type="pct"/>
            <w:vAlign w:val="center"/>
            <w:textDirection w:val="lrTb"/>
            <w:noWrap w:val="false"/>
          </w:tcPr>
          <w:p>
            <w:pPr>
              <w:jc w:val="center"/>
              <w:spacing w:line="340" w:lineRule="exact"/>
              <w:widowControl/>
              <w:rPr>
                <w:rFonts w:hint="eastAsia" w:ascii="宋体" w:hAnsi="宋体" w:eastAsia="宋体" w:cs="宋体"/>
                <w:bCs/>
                <w:sz w:val="24"/>
                <w:szCs w:val="24"/>
              </w:rPr>
            </w:pPr>
            <w:r>
              <w:rPr>
                <w:rFonts w:hint="eastAsia" w:cs="仿宋" w:asciiTheme="minorEastAsia" w:hAnsiTheme="minorEastAsia" w:eastAsiaTheme="minorEastAsia"/>
                <w:sz w:val="24"/>
                <w:szCs w:val="24"/>
              </w:rPr>
              <w:t xml:space="preserve">合同签订后货到安装验收合格后支付合同总金额的9</w:t>
            </w:r>
            <w:r>
              <w:rPr>
                <w:rFonts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，安装验收满一年后付清</w:t>
            </w:r>
            <w:r>
              <w:rPr>
                <w:rFonts w:cs="仿宋" w:asciiTheme="minorEastAsia" w:hAnsiTheme="minorEastAsia" w:eastAsiaTheme="minorEastAsia"/>
                <w:sz w:val="24"/>
                <w:szCs w:val="24"/>
              </w:rPr>
              <w:t xml:space="preserve">10%</w:t>
            </w:r>
            <w:r>
              <w:rPr>
                <w:rFonts w:hint="eastAsia" w:cs="仿宋" w:asciiTheme="minorEastAsia" w:hAnsiTheme="minorEastAsia" w:eastAsiaTheme="minorEastAsia"/>
                <w:sz w:val="24"/>
                <w:szCs w:val="24"/>
              </w:rPr>
              <w:t xml:space="preserve">余款。</w:t>
            </w:r>
            <w:r/>
          </w:p>
        </w:tc>
      </w:tr>
    </w:tbl>
    <w:p>
      <w:pPr>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四、采购标的的所属行业</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sz w:val="24"/>
          <w:szCs w:val="24"/>
          <w:u w:val="single"/>
        </w:rPr>
        <w:t xml:space="preserve"> 工业  </w:t>
      </w:r>
      <w:r>
        <w:rPr>
          <w:rFonts w:hint="eastAsia" w:cs="仿宋" w:asciiTheme="minorEastAsia" w:hAnsiTheme="minorEastAsia" w:eastAsiaTheme="minorEastAsia"/>
          <w:sz w:val="24"/>
          <w:szCs w:val="24"/>
        </w:rPr>
        <w:t xml:space="preserve">。 </w:t>
      </w:r>
      <w:r/>
    </w:p>
    <w:p>
      <w:pPr>
        <w:rPr>
          <w:rFonts w:hint="eastAsia" w:cs="仿宋" w:asciiTheme="minorEastAsia" w:hAnsiTheme="minorEastAsia" w:eastAsiaTheme="minorEastAsia"/>
        </w:rPr>
      </w:pPr>
      <w:r>
        <w:rPr>
          <w:rFonts w:cs="仿宋" w:asciiTheme="minorEastAsia" w:hAnsiTheme="minorEastAsia" w:eastAsiaTheme="minorEastAsia"/>
        </w:rPr>
        <w:br w:type="page" w:clear="all"/>
      </w:r>
      <w:r/>
    </w:p>
    <w:p>
      <w:pPr>
        <w:pStyle w:val="1018"/>
        <w:numPr>
          <w:ilvl w:val="0"/>
          <w:numId w:val="7"/>
        </w:numPr>
        <w:jc w:val="center"/>
        <w:spacing w:before="0" w:after="0" w:line="240" w:lineRule="auto"/>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评标办法及标准</w:t>
      </w:r>
      <w:bookmarkEnd w:id="37"/>
      <w:r/>
      <w:bookmarkEnd w:id="38"/>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三、评标办法：</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auto"/>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auto"/>
          <w:shd w:val="clear" w:color="auto" w:fill="ffffff"/>
        </w:rPr>
      </w:pPr>
      <w:r>
        <w:rPr>
          <w:rFonts w:hint="eastAsia" w:cs="仿宋" w:asciiTheme="minorEastAsia" w:hAnsiTheme="minorEastAsia" w:eastAsiaTheme="minorEastAsia"/>
          <w:b/>
          <w:bCs/>
          <w:color w:val="auto"/>
          <w:shd w:val="clear" w:color="auto" w:fill="ffffff"/>
        </w:rPr>
        <w:t xml:space="preserve">政府采购政策功能落实</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1、小微型企业价格扣除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（1）本项目对小型和微型企业产品给予10%的扣除价格，用扣除后的价格参与评审。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（2）供应商需按照采购文件的要求提供相应的《中小企业声明函》。</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（3）企业标准请参照《关于印发中小企业划型标准规定的通知》（工信部联企业[2011]300号）文件规定自行填写。</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2、残疾人福利单位价格扣除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（1）本项目对残疾人福利性单位视同小型、微型企业，给予10%的价格扣除，用扣除后的价格参与评审。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（2）残疾人福利单位需按照采购文件的要求提供《残疾人福利性单位声明函》。</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（3）残疾人福利单位标准请参照《关于促进残疾人就业政府采购政策的通知》（财库〔2017〕141号）。</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3、监狱和戒毒企业价格扣除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（1）本项目对监狱和戒毒企业（简称监狱企业）视同小型、微型企业，给予10%的价格扣除，用扣除后的价格参与评审。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（3）监狱企业标准请参照《关于政府采购支持监狱企业发展有关问题的通知》（财库[2014]68号）。</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4、残疾人福利单位、监狱企业属于小型、微型企业的，不重复享受政策。</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6、联合体各方均为小型、微型企业（残疾人福利单位、监狱企业）的，联合体享受10%价格扣除，用扣除后的价格参与评审。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7、专门面向中小企业采购的项目，小微企业不再享受价格扣除优惠政策。</w:t>
      </w:r>
      <w:r/>
    </w:p>
    <w:p>
      <w:pPr>
        <w:spacing w:line="360" w:lineRule="auto"/>
        <w:rPr>
          <w:rFonts w:hint="eastAsia" w:cs="仿宋" w:asciiTheme="minorEastAsia" w:hAnsiTheme="minorEastAsia" w:eastAsiaTheme="minorEastAsia"/>
          <w:b/>
          <w:sz w:val="24"/>
          <w:szCs w:val="24"/>
        </w:rPr>
      </w:pPr>
      <w:r/>
      <w:bookmarkStart w:id="40" w:name="_Hlk147842034"/>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w:t>
      </w: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sz w:val="24"/>
          <w:szCs w:val="24"/>
        </w:rPr>
        <w:t xml:space="preserve">： </w:t>
      </w:r>
      <w:r/>
    </w:p>
    <w:tbl>
      <w:tblPr>
        <w:tblStyle w:val="853"/>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05"/>
        <w:gridCol w:w="1194"/>
        <w:gridCol w:w="5561"/>
        <w:gridCol w:w="656"/>
      </w:tblGrid>
      <w:tr>
        <w:trPr>
          <w:jc w:val="center"/>
        </w:trPr>
        <w:tc>
          <w:tcPr>
            <w:tcBorders>
              <w:top w:val="single" w:color="000000" w:sz="8"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评标项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评标标准及细则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分值</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采用低价优先法计算，即满足招标文件要求且投标价格最低的投标报价为评标基准价，其价格分为满分。其他供应商的价格</w:t>
            </w:r>
            <w:r>
              <w:rPr>
                <w:rFonts w:hint="eastAsia" w:cs="宋体" w:asciiTheme="minorEastAsia" w:hAnsiTheme="minorEastAsia" w:eastAsiaTheme="minorEastAsia"/>
                <w:bCs/>
                <w:sz w:val="24"/>
                <w:szCs w:val="24"/>
              </w:rPr>
              <w:t xml:space="preserve">分统一</w:t>
            </w:r>
            <w:r>
              <w:rPr>
                <w:rFonts w:hint="eastAsia" w:cs="宋体" w:asciiTheme="minorEastAsia" w:hAnsiTheme="minorEastAsia" w:eastAsiaTheme="minorEastAsia"/>
                <w:bCs/>
                <w:sz w:val="24"/>
                <w:szCs w:val="24"/>
              </w:rPr>
              <w:t xml:space="preserve">按照下列公式计算:投标报价得分=(评标基准价/投标报价)×30（小数点保留两位）评标过程中，不得去掉报价中的最高报价和最低报价。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30</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left="24"/>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left="91"/>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技术、性能、配置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评委根据采购文件中《招标技术规格及其他要求》，结合响应文件提供的佐证材料等进行评审：</w:t>
            </w:r>
            <w:r/>
          </w:p>
          <w:p>
            <w:pPr>
              <w:ind w:firstLine="480"/>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1、标★号参数为关键技术指标，如有负偏离，作无效投标处理；</w:t>
            </w:r>
            <w:r/>
          </w:p>
          <w:p>
            <w:pPr>
              <w:ind w:firstLine="480"/>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2、标▲号参数为重要技术指标，有一项负偏离扣3分，扣完为止；</w:t>
            </w:r>
            <w:r>
              <w:rPr>
                <w:rFonts w:cs="宋体" w:asciiTheme="minorEastAsia" w:hAnsiTheme="minorEastAsia" w:eastAsiaTheme="minorEastAsia"/>
                <w:bCs/>
                <w:sz w:val="24"/>
                <w:szCs w:val="24"/>
              </w:rPr>
              <w:t xml:space="preserve"> </w:t>
            </w:r>
            <w:r/>
          </w:p>
          <w:p>
            <w:pPr>
              <w:ind w:firstLine="480"/>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除标</w:t>
            </w:r>
            <w:r>
              <w:rPr>
                <w:rFonts w:hint="eastAsia" w:cs="宋体" w:asciiTheme="minorEastAsia" w:hAnsiTheme="minorEastAsia" w:eastAsiaTheme="minorEastAsia"/>
                <w:bCs/>
                <w:sz w:val="24"/>
                <w:szCs w:val="24"/>
              </w:rPr>
              <w:t xml:space="preserve">★、▲外，其他为全部一般技术指标，每有一项负偏离扣１分，扣完为止。其中技术部分负偏离超过半数的，或该项分值得0分或经评委会评议负偏离可能实质性影响使用的，将判定为实质性不符合招标要求，做无效投标处理。</w:t>
            </w:r>
            <w:r/>
          </w:p>
          <w:p>
            <w:pPr>
              <w:ind w:firstLine="480"/>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4、产品交付验收时，采购人将对技术规格要求中的关键技术指标进行逐一核实验收，如发现虚假应标，或无法实现关键技术指标功能，有权向采购主管部门进行举报，所有后果</w:t>
            </w:r>
            <w:r>
              <w:rPr>
                <w:rFonts w:hint="eastAsia" w:cs="宋体" w:asciiTheme="minorEastAsia" w:hAnsiTheme="minorEastAsia" w:eastAsiaTheme="minorEastAsia"/>
                <w:bCs/>
                <w:sz w:val="24"/>
                <w:szCs w:val="24"/>
              </w:rPr>
              <w:t xml:space="preserve">由成交</w:t>
            </w:r>
            <w:r>
              <w:rPr>
                <w:rFonts w:hint="eastAsia" w:cs="宋体" w:asciiTheme="minorEastAsia" w:hAnsiTheme="minorEastAsia" w:eastAsiaTheme="minorEastAsia"/>
                <w:bCs/>
                <w:sz w:val="24"/>
                <w:szCs w:val="24"/>
              </w:rPr>
              <w:t xml:space="preserve">供应商承担。</w:t>
            </w:r>
            <w:r/>
          </w:p>
          <w:p>
            <w:pPr>
              <w:rPr>
                <w:rFonts w:hint="eastAsia"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bCs/>
                <w:sz w:val="24"/>
                <w:szCs w:val="24"/>
              </w:rPr>
              <w:t xml:space="preserve">标注“★号、▲号”技术参数，须提供相关证明材料（包括制造商技术白皮书或Data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55</w:t>
            </w:r>
            <w:r/>
          </w:p>
        </w:tc>
      </w:tr>
      <w:tr>
        <w:trPr>
          <w:jc w:val="center"/>
          <w:trHeight w:val="585"/>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ind w:hanging="8"/>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技术培训方案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投标人提供对用户的操作培训、业务功能培训等相关培训计划方案，除正常操作培训外，针对甲方是教学培训单位的特点，提出其他技术培训保障方案；</w:t>
            </w:r>
            <w:r/>
          </w:p>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1、技术培训保障方案内容详实、科学、合理，考虑周全，培训计划针对性强、内容详实，培训人员配备齐全、技术水平高、分工明确、岗位设置科学合理，培训率承诺高，得5分。</w:t>
            </w:r>
            <w:r/>
          </w:p>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2、技术培训保障方案内容详实、考虑较全，培训计划具体，培训人员齐全，培训率承诺较高，得3分。</w:t>
            </w:r>
            <w:r/>
          </w:p>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3、技术培训保障方案表述简单，培训计划简单、</w:t>
            </w:r>
            <w:r>
              <w:rPr>
                <w:rFonts w:hint="eastAsia" w:cs="宋体" w:asciiTheme="minorEastAsia" w:hAnsiTheme="minorEastAsia" w:eastAsiaTheme="minorEastAsia"/>
                <w:bCs/>
                <w:sz w:val="24"/>
                <w:szCs w:val="24"/>
              </w:rPr>
              <w:t xml:space="preserve">培训人员较少，培训率承诺一般，得1分。</w:t>
            </w:r>
            <w:r/>
          </w:p>
          <w:p>
            <w:pP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4、未提供方案或方案无可行性不得分。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5</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售后服务实施方案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1）售后方案内容详实、科学、合理，考虑周全，对产品质量管控措施要求全面到位，相关服务承诺内容详实，人员配备齐全，分工明确、岗位设置科学合理，人员配备齐全、设备配备齐全、先进者得5分；</w:t>
            </w:r>
            <w:r/>
          </w:p>
          <w:p>
            <w:pP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2）售后方案内容详实、考虑较全，对产品质量管控措施要求到位，相关服务承诺内容具体，人员配备齐全、设备配备齐全者得3分；</w:t>
            </w:r>
            <w:r/>
          </w:p>
          <w:p>
            <w:pP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3）技术培训保障方案表述简单，培训计划简单、培训人员较少，培训率承诺一般者得1分；</w:t>
            </w:r>
            <w:r/>
          </w:p>
          <w:p>
            <w:pP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4）未提供服务方案的不得分。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5</w:t>
            </w:r>
            <w:r/>
          </w:p>
        </w:tc>
      </w:tr>
      <w:tr>
        <w:trPr>
          <w:jc w:val="center"/>
        </w:trPr>
        <w:tc>
          <w:tcPr>
            <w:tcBorders>
              <w:top w:val="none" w:color="000000" w:sz="4" w:space="0"/>
              <w:left w:val="single" w:color="000000" w:sz="8" w:space="0"/>
              <w:bottom w:val="single" w:color="000000" w:sz="8" w:space="0"/>
              <w:right w:val="single" w:color="000000" w:sz="8" w:space="0"/>
            </w:tcBorders>
            <w:tcW w:w="649" w:type="pct"/>
            <w:vAlign w:val="center"/>
            <w:textDirection w:val="lrTb"/>
            <w:noWrap w:val="false"/>
          </w:tcPr>
          <w:p>
            <w:pPr>
              <w:ind w:firstLine="22"/>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5" w:type="pct"/>
            <w:vAlign w:val="center"/>
            <w:textDirection w:val="lrTb"/>
            <w:noWrap w:val="false"/>
          </w:tcPr>
          <w:p>
            <w:pPr>
              <w:pStyle w:val="827"/>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投标人提供的售后服务承诺书需响应招标文件要求的免费质保期，满足不得分，超过1年加2.5分，最多得5分。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5</w:t>
            </w:r>
            <w:r/>
          </w:p>
        </w:tc>
      </w:tr>
      <w:tr>
        <w:trPr>
          <w:jc w:val="center"/>
        </w:trPr>
        <w:tc>
          <w:tcPr>
            <w:gridSpan w:val="3"/>
            <w:tcBorders>
              <w:top w:val="none" w:color="000000" w:sz="4" w:space="0"/>
              <w:left w:val="single" w:color="000000" w:sz="8" w:space="0"/>
              <w:bottom w:val="single" w:color="000000" w:sz="8" w:space="0"/>
              <w:right w:val="single" w:color="000000" w:sz="8" w:space="0"/>
            </w:tcBorders>
            <w:tcW w:w="4615" w:type="pct"/>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 w:type="pct"/>
            <w:vAlign w:val="center"/>
            <w:textDirection w:val="lrTb"/>
            <w:noWrap w:val="false"/>
          </w:tcPr>
          <w:p>
            <w:pPr>
              <w:jc w:val="center"/>
              <w:rPr>
                <w:rFonts w:hint="eastAsia" w:cs="宋体" w:asciiTheme="minorEastAsia" w:hAnsiTheme="minorEastAsia" w:eastAsiaTheme="minorEastAsia"/>
                <w:bCs/>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rPr>
              <w:t xml:space="preserve">100</w:t>
            </w:r>
            <w:r/>
          </w:p>
        </w:tc>
      </w:tr>
    </w:tbl>
    <w:p>
      <w:pPr>
        <w:pStyle w:val="852"/>
        <w:ind w:firstLine="0"/>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五、推荐中标候选人:</w:t>
      </w:r>
      <w:r/>
    </w:p>
    <w:p>
      <w:pPr>
        <w:ind w:firstLine="488"/>
        <w:spacing w:line="360" w:lineRule="auto"/>
        <w:rPr>
          <w:rFonts w:hint="eastAsia" w:cs="仿宋" w:asciiTheme="minorEastAsia" w:hAnsiTheme="minorEastAsia" w:eastAsiaTheme="minorEastAsia"/>
          <w:bCs/>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sz w:val="24"/>
          <w:szCs w:val="24"/>
        </w:rPr>
        <w:t xml:space="preserve">汇总上述各项分值（保留两位小数,小数点后第三位四舍五入），按总得分由高到低的顺序排列,综合得分最高的为中标候选人。</w:t>
      </w:r>
      <w:bookmarkEnd w:id="40"/>
      <w:r/>
      <w:r/>
    </w:p>
    <w:p>
      <w:pPr>
        <w:spacing w:line="300" w:lineRule="auto"/>
        <w:rPr>
          <w:rFonts w:hint="eastAsia" w:cs="仿宋" w:asciiTheme="minorEastAsia" w:hAnsiTheme="minorEastAsia" w:eastAsiaTheme="minorEastAsia"/>
          <w:b/>
          <w:sz w:val="32"/>
          <w:szCs w:val="32"/>
        </w:rPr>
        <w:outlineLvl w:val="0"/>
      </w:pPr>
      <w:r>
        <w:rPr>
          <w:rFonts w:hint="eastAsia" w:cs="仿宋" w:asciiTheme="minorEastAsia" w:hAnsiTheme="minorEastAsia" w:eastAsiaTheme="minorEastAsia"/>
          <w:b/>
          <w:sz w:val="32"/>
          <w:szCs w:val="32"/>
        </w:rPr>
      </w:r>
      <w:r/>
    </w:p>
    <w:p>
      <w:pPr>
        <w:jc w:val="center"/>
        <w:spacing w:line="300" w:lineRule="auto"/>
        <w:rPr>
          <w:rFonts w:hint="eastAsia" w:cs="仿宋" w:asciiTheme="minorEastAsia" w:hAnsiTheme="minorEastAsia" w:eastAsiaTheme="minorEastAsia"/>
          <w:b/>
          <w:sz w:val="32"/>
          <w:szCs w:val="32"/>
        </w:rPr>
        <w:outlineLvl w:val="0"/>
      </w:pPr>
      <w:r>
        <w:rPr>
          <w:rFonts w:hint="eastAsia" w:cs="仿宋" w:asciiTheme="minorEastAsia" w:hAnsiTheme="minorEastAsia" w:eastAsiaTheme="minorEastAsia"/>
          <w:b/>
          <w:sz w:val="32"/>
          <w:szCs w:val="32"/>
        </w:rPr>
        <w:t xml:space="preserve">第五章 合同条款</w:t>
      </w:r>
      <w:r/>
    </w:p>
    <w:p>
      <w:pPr>
        <w:ind w:firstLine="567"/>
        <w:jc w:val="center"/>
        <w:rPr>
          <w:rFonts w:hint="eastAsia" w:ascii="宋体" w:hAnsi="宋体" w:eastAsia="宋体" w:cs="仿宋"/>
          <w:bCs/>
          <w:sz w:val="24"/>
          <w:szCs w:val="24"/>
        </w:rPr>
      </w:pPr>
      <w:r>
        <w:rPr>
          <w:rFonts w:hint="eastAsia" w:ascii="宋体" w:hAnsi="宋体" w:eastAsia="宋体" w:cs="仿宋"/>
          <w:bCs/>
          <w:sz w:val="24"/>
          <w:szCs w:val="24"/>
        </w:rPr>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hint="eastAsia" w:ascii="宋体" w:hAnsi="宋体" w:eastAsia="宋体" w:cs="宋体"/>
          <w:bCs/>
          <w:position w:val="-10"/>
          <w:sz w:val="24"/>
        </w:rPr>
      </w:pPr>
      <w:r/>
      <w:bookmarkStart w:id="41" w:name="_Toc16938559"/>
      <w:r/>
      <w:bookmarkStart w:id="42" w:name="_Toc513029243"/>
      <w:r/>
      <w:bookmarkStart w:id="43" w:name="_Toc20823315"/>
      <w:r>
        <w:rPr>
          <w:rFonts w:hint="eastAsia" w:ascii="宋体" w:hAnsi="宋体" w:eastAsia="宋体" w:cs="宋体"/>
          <w:bCs/>
          <w:position w:val="-10"/>
          <w:sz w:val="24"/>
        </w:rPr>
        <w:t xml:space="preserve">以下为中标后签定本项目合同的通用条款，采购人与中标人应按此签订采购合同。中标人不得提出实质性的修改，关于专用条款将由采购人与中标人结合本项目具体情况协商后签订。</w:t>
      </w:r>
      <w:bookmarkEnd w:id="41"/>
      <w:r/>
      <w:bookmarkEnd w:id="42"/>
      <w:r/>
      <w:bookmarkEnd w:id="43"/>
      <w:r/>
      <w:r/>
    </w:p>
    <w:p>
      <w:pPr>
        <w:jc w:val="center"/>
        <w:spacing w:line="360" w:lineRule="auto"/>
        <w:rPr>
          <w:rFonts w:hint="eastAsia"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甲方：</w:t>
      </w:r>
      <w:r>
        <w:rPr>
          <w:rFonts w:hint="eastAsia" w:ascii="宋体" w:hAnsi="宋体" w:eastAsia="宋体"/>
          <w:bCs/>
          <w:position w:val="-10"/>
          <w:sz w:val="28"/>
          <w:szCs w:val="28"/>
        </w:rPr>
        <w:t xml:space="preserve">泰兴市黄桥镇刘陈卫生院（泰兴市精神卫生中心）</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hint="eastAsia"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87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950"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925" w:type="dxa"/>
            <w:textDirection w:val="lrTb"/>
            <w:noWrap w:val="false"/>
          </w:tcPr>
          <w:p>
            <w:pPr>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26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c>
          <w:tcPr>
            <w:tcW w:w="1620" w:type="dxa"/>
            <w:textDirection w:val="lrTb"/>
            <w:noWrap w:val="false"/>
          </w:tcPr>
          <w:p>
            <w:pPr>
              <w:ind w:firstLine="120"/>
              <w:jc w:val="center"/>
              <w:spacing w:line="360" w:lineRule="auto"/>
              <w:rPr>
                <w:rFonts w:hint="eastAsia" w:ascii="宋体" w:hAnsi="宋体" w:eastAsia="宋体"/>
                <w:bCs/>
                <w:position w:val="-10"/>
                <w:sz w:val="24"/>
              </w:rPr>
            </w:pPr>
            <w:r>
              <w:rPr>
                <w:rFonts w:hint="eastAsia"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总计(大写):</w:t>
            </w:r>
            <w:r/>
          </w:p>
        </w:tc>
        <w:tc>
          <w:tcPr>
            <w:gridSpan w:val="2"/>
            <w:tcW w:w="2880" w:type="dxa"/>
            <w:textDirection w:val="lrTb"/>
            <w:noWrap w:val="false"/>
          </w:tcPr>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hint="eastAsia" w:ascii="宋体" w:hAnsi="宋体" w:eastAsia="宋体" w:cs="等线"/>
          <w:bCs/>
          <w:position w:val="-10"/>
          <w:sz w:val="24"/>
        </w:rPr>
      </w:pPr>
      <w:r>
        <w:rPr>
          <w:rFonts w:hint="eastAsia" w:ascii="宋体" w:hAnsi="宋体" w:eastAsia="宋体"/>
          <w:bCs/>
          <w:position w:val="-10"/>
          <w:sz w:val="24"/>
        </w:rPr>
        <w:t xml:space="preserve">1.上述价格含设备制造、包装、仓储、运输、退换货、安装、调试以及提供相应的培训，</w:t>
      </w:r>
      <w:r>
        <w:rPr>
          <w:rFonts w:hint="eastAsia" w:ascii="宋体" w:hAnsi="宋体" w:eastAsia="宋体" w:cs="等线"/>
          <w:bCs/>
          <w:position w:val="-10"/>
          <w:sz w:val="24"/>
        </w:rPr>
        <w:t xml:space="preserve">验收合格之前和质保期内备品、备件发生的所有含税费用，以及包装拆除物的清理费用。</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2.质保期内的维护、保养（含设备所有部件）与技术支持等事项而发生的</w:t>
      </w:r>
      <w:r>
        <w:rPr>
          <w:rFonts w:hint="eastAsia" w:ascii="宋体" w:hAnsi="宋体" w:eastAsia="宋体" w:cs="等线"/>
          <w:bCs/>
          <w:position w:val="-10"/>
          <w:sz w:val="24"/>
        </w:rPr>
        <w:t xml:space="preserve">一切费用，均已包含在合同总价中，由乙方自行承担。</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3.乙方未按本合同约定提交设备所产生的任何费用由乙方负责，甲方对由此所引起的任何价格变动不予承认。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三、付款方式：  </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四、交货期：合同生效之日起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内货物运抵医院并安装完毕。</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五、交货地点：</w:t>
      </w:r>
      <w:r>
        <w:rPr>
          <w:rFonts w:hint="eastAsia" w:ascii="宋体" w:hAnsi="宋体" w:eastAsia="宋体"/>
          <w:bCs/>
          <w:position w:val="-10"/>
          <w:sz w:val="24"/>
        </w:rPr>
        <w:t xml:space="preserve">泰兴市黄桥镇刘陈卫生院（泰兴市精神卫生中心）</w:t>
      </w:r>
      <w:r>
        <w:rPr>
          <w:rFonts w:hint="eastAsia" w:ascii="宋体" w:hAnsi="宋体" w:eastAsia="宋体"/>
          <w:bCs/>
          <w:position w:val="-10"/>
          <w:sz w:val="24"/>
        </w:rPr>
        <w:t xml:space="preserve">指定地点。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年(全保)，所有维修配件均为原厂全新合格产品；质保期从设备安装调试验收合格并完成培训之日算起，保修期外乙方对</w:t>
      </w:r>
      <w:r>
        <w:rPr>
          <w:rFonts w:hint="eastAsia" w:ascii="宋体" w:hAnsi="宋体" w:eastAsia="宋体"/>
          <w:bCs/>
          <w:position w:val="-10"/>
          <w:sz w:val="24"/>
        </w:rPr>
        <w:t xml:space="preserve">本设备</w:t>
      </w:r>
      <w:r>
        <w:rPr>
          <w:rFonts w:hint="eastAsia" w:ascii="宋体" w:hAnsi="宋体" w:eastAsia="宋体"/>
          <w:bCs/>
          <w:position w:val="-10"/>
          <w:sz w:val="24"/>
        </w:rPr>
        <w:t xml:space="preserve">终身负责维修。</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hint="eastAsia" w:ascii="宋体" w:hAnsi="宋体" w:eastAsia="宋体" w:cs="等线"/>
          <w:bCs/>
          <w:position w:val="-10"/>
          <w:sz w:val="24"/>
        </w:rPr>
      </w:pPr>
      <w:r>
        <w:rPr>
          <w:rFonts w:hint="eastAsia" w:ascii="宋体" w:hAnsi="宋体" w:eastAsia="宋体" w:cs="等线"/>
          <w:bCs/>
          <w:position w:val="-10"/>
          <w:sz w:val="24"/>
        </w:rPr>
        <w:t xml:space="preserve">1．特别提醒条款：a、所提供医疗器械产品注册证必须真实有效；b、所提供设备的投标文件、资料以及设备上的中文品名和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2．乙方保证向甲方提供设备满足中国国家标准或相关行业标准。根据国家规定，如需要提供计量检定证书、3C认证证书和标记的设备及有关配置，必须提供上述证书和标记。</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乙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10年正常运行所需的备品备件，否则造成的逾期交货等一切损失由乙方负全部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应保证其提供的货物在正确安装、正常使用和保养条件下，在其使用寿命内具有良好的性能。乙方所提供设备如验收不合格，根据甲方要求，乙方必须无条件换货或退货，货物验收后，在质量保证期内，乙方应对由于设计、工艺或材料的缺陷所发生的任何不足或故障负责，由此引起的一切损失由乙方承担。</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八、设备包装、到货、安装和验收要求：</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乙方交付的货物应当完全符合本合同或者招投标文件所规定的货物、数量和规格要求，按照本合同或合同后附招标文件约定的时间、地点交货。乙方不得少交或多交货物。乙方提供的货物不符合后附招投标文件或本合同规定的，甲方有权拒收货物，由此引起的风险，由乙方承担。</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设备安装、调试合格后交甲方验收，之前所有事宜由乙方承担。设备安装时，乙方必须事先与甲方设备科联系，设备到达甲方医院时，乙方代表必须同时到达，由乙方负责卸货并搬运至甲方指定的地点，双方需一起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乙方提供的设备必须能免费与我院现有的信息系统连接，若该设备涉及网络问题，甲方只负责提供一个网络接口，设备内部的局域网建设由乙方负责提供。如设备设有维修软件密码，乙方应保证无条件地为甲方永久免费打开。如设备软件升级，乙方负责免费软件升级，保证软件为在国内已取得注册证认证的最新、最高版本。</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7.设备安装、调试结束后，甲方对设备试用后进行验收（时间由甲、乙双</w:t>
      </w:r>
      <w:r>
        <w:rPr>
          <w:rFonts w:hint="eastAsia" w:ascii="宋体" w:hAnsi="宋体" w:eastAsia="宋体"/>
          <w:bCs/>
          <w:position w:val="-10"/>
          <w:sz w:val="24"/>
        </w:rPr>
        <w:t xml:space="preserve">方商定），乙方免费派工程师到达现场协助验收工作。</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8.工程类项目乙方必须定期向甲方汇报工程进度，涉及隐蔽工程，再对将被下一工序所封闭前，乙方须通知甲方现场进行查勘确认。</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9.如有设备具有远程维修诊断功能，乙方需在签订合同前告知甲方，并按甲方要求签订保密协议及承诺书后，乙方按照甲方要求负责免费为甲方安装，并在保证数据安全的前提下进行远程操作。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1．确保设备保修期内开机率为98%，如设备故障停机率超过2%（一年按365天计算，每年7天），每超过一天，保修期延长两周，或扣除相应设备尾款。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设备发生故障，乙方在接到甲方报修电话后2小时内予以响应，24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保修期内乙方保证按照使用说明书要求提供上门保养服务，若使用说明书无特殊要求则提供每年2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4．乙方提供免费系统软件升级和全套技术资料（包括详细电路图、操作说明书、维修手册、操作流程卡及光盘），如技术资料不全，甲方有权不支付货款。</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5.如乙方提供的设备设有维修软件密码，乙方保证无条件地为甲方免费打开，直至最底层维修模式。</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8"/>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   乙方应保证甲方在使用、接受本合同货物和服务或其任何一部分时不受</w:t>
      </w:r>
      <w:r>
        <w:rPr>
          <w:rFonts w:hint="eastAsia" w:ascii="宋体" w:hAnsi="宋体" w:eastAsia="宋体"/>
          <w:bCs/>
          <w:position w:val="-10"/>
          <w:sz w:val="24"/>
        </w:rPr>
        <w:t xml:space="preserve">第三方提出侵犯其专利权等知识产权的起诉。一旦出现侵权，由乙方负全部责任。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8"/>
        </w:numPr>
        <w:spacing w:line="360" w:lineRule="auto"/>
        <w:rPr>
          <w:rFonts w:hint="eastAsia"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1.甲方无正当理由拒收货物、拒付货物款的，由甲方向乙方偿付合同总价的20%违约金。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2.如乙方不能交付货物，视为根本违约，甲方有权解除合同，解除合同的通知自到达乙方时生效。乙方应向甲方支付合同总价20%的违约金。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3.乙方所交付的货物品种、型号、规格、数量不符合合同规定的，甲方有权拒收。甲方拒收的，视为乙方未完成交货义务，且应向甲方支付货款总额20%的违约金。</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4. 如乙方逾期交货，则每日按货款总额0.1%扣除违约金，但该违约金总额不超过合同总金额的30%，违约金可以在每次应付款中直接扣除；如乙方逾期交货达两个月则视为乙方不能交付货物。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5.在乙方承诺的或国家规定的质量保证期内（取两者中最长的期限），如经乙方两次维修或更换，货物仍不能达到合同约定的质量标准，甲方有权退货，乙方应退回全部货款，同时，乙方应向甲方支付合同总价20%的违约金，并还须赔偿甲方因此遭受的损失。</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6.乙方未按本合同的规定提供伴随服务/售后服务的，应按合同总价款的10%向甲方承担违约责任。</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7.因乙方的违约行为给甲方造成损失的（包括所有直接和间接损失），如果违约金不足以补偿该损失部分的，甲方有权继续要求乙方赔偿甲方所有实际损失，并保留追偿的权利。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8.乙方对本合同所约定的设备价格负责，如果产生与设备价值、成本相关的任何法律纠纷由乙方承担，甲方不承担任何相关法律责任。</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hint="eastAsia" w:ascii="宋体" w:hAnsi="宋体" w:eastAsia="宋体" w:cs="宋体"/>
          <w:bCs/>
          <w:position w:val="-10"/>
          <w:sz w:val="24"/>
        </w:rPr>
      </w:pPr>
      <w:r>
        <w:rPr>
          <w:rFonts w:hint="eastAsia" w:ascii="宋体" w:hAnsi="宋体" w:eastAsia="宋体" w:cs="宋体"/>
          <w:bCs/>
          <w:position w:val="-10"/>
          <w:sz w:val="24"/>
          <w:szCs w:val="24"/>
        </w:rPr>
        <w:t xml:space="preserve">1.因货物的质量问题发生争议的，甲方可以邀请国家认可的质量检测机构</w:t>
      </w:r>
      <w:r>
        <w:rPr>
          <w:rFonts w:hint="eastAsia" w:ascii="宋体" w:hAnsi="宋体" w:eastAsia="宋体" w:cs="宋体"/>
          <w:bCs/>
          <w:position w:val="-10"/>
          <w:sz w:val="24"/>
          <w:szCs w:val="24"/>
        </w:rPr>
        <w:t xml:space="preserve">对货物质量进行鉴定。货物符合标准的，鉴定费由甲方承担；货物不符合质量标准的，鉴定费由乙方承担。</w:t>
      </w:r>
      <w:r/>
    </w:p>
    <w:p>
      <w:pPr>
        <w:ind w:firstLine="480"/>
        <w:spacing w:line="360" w:lineRule="auto"/>
        <w:rPr>
          <w:rFonts w:hint="eastAsia"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hint="eastAsia"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0%承担违约责任。</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hint="eastAsia"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不负责任。但受不可抗力影响的一方，应尽快地将所发生的事件通知对方，并应在事件发生后15天内将有关机构出具的不可抗力事件的证明寄交对方。</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十六、合同签署地点：</w:t>
      </w:r>
      <w:r>
        <w:rPr>
          <w:rFonts w:hint="eastAsia" w:ascii="宋体" w:hAnsi="宋体" w:eastAsia="宋体"/>
          <w:bCs/>
          <w:position w:val="-10"/>
          <w:sz w:val="24"/>
        </w:rPr>
        <w:t xml:space="preserve">泰兴市黄桥镇刘陈卫生院（泰兴市精神卫生中心）</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hint="eastAsia" w:ascii="宋体" w:hAnsi="宋体" w:eastAsia="宋体"/>
          <w:bCs/>
          <w:position w:val="-10"/>
          <w:sz w:val="24"/>
          <w:u w:val="single"/>
        </w:rPr>
      </w:pPr>
      <w:r>
        <w:rPr>
          <w:rFonts w:hint="eastAsia" w:ascii="宋体" w:hAnsi="宋体" w:eastAsia="宋体"/>
          <w:bCs/>
          <w:position w:val="-10"/>
          <w:sz w:val="24"/>
        </w:rPr>
        <w:t xml:space="preserve">甲方：</w:t>
      </w:r>
      <w:r>
        <w:rPr>
          <w:rFonts w:hint="eastAsia" w:ascii="宋体" w:hAnsi="宋体" w:eastAsia="宋体"/>
          <w:bCs/>
          <w:position w:val="-10"/>
          <w:sz w:val="24"/>
        </w:rPr>
        <w:t xml:space="preserve">泰兴市黄桥镇刘陈卫生院（泰兴市精神卫生中心）</w:t>
      </w:r>
      <w:r>
        <w:rPr>
          <w:rFonts w:hint="eastAsia" w:ascii="宋体" w:hAnsi="宋体" w:eastAsia="宋体"/>
          <w:bCs/>
          <w:position w:val="-10"/>
          <w:sz w:val="24"/>
        </w:rPr>
        <w:t xml:space="preserve">            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20" w:line="360" w:lineRule="auto"/>
        <w:rPr>
          <w:rFonts w:hint="eastAsia" w:ascii="宋体" w:hAnsi="宋体" w:eastAsia="宋体"/>
          <w:bCs/>
          <w:position w:val="-10"/>
          <w:sz w:val="24"/>
        </w:rPr>
      </w:pPr>
      <w:r>
        <w:rPr>
          <w:rFonts w:hint="eastAsia" w:ascii="宋体" w:hAnsi="宋体" w:eastAsia="宋体"/>
          <w:bCs/>
          <w:position w:val="-10"/>
          <w:sz w:val="24"/>
        </w:rPr>
        <w:t xml:space="preserve">甲方（签章）：                          乙方（签章）：</w:t>
      </w:r>
      <w:r/>
    </w:p>
    <w:p>
      <w:pPr>
        <w:spacing w:before="120" w:line="360" w:lineRule="auto"/>
        <w:rPr>
          <w:rFonts w:hint="eastAsia" w:ascii="宋体" w:hAnsi="宋体" w:eastAsia="宋体"/>
          <w:bCs/>
          <w:position w:val="-10"/>
          <w:sz w:val="24"/>
          <w:u w:val="single"/>
        </w:rPr>
      </w:pPr>
      <w:r>
        <w:rPr>
          <w:rFonts w:hint="eastAsia" w:ascii="宋体" w:hAnsi="宋体" w:eastAsia="宋体"/>
          <w:bCs/>
          <w:position w:val="-10"/>
          <w:sz w:val="24"/>
          <w:u w:val="single"/>
        </w:rPr>
      </w:r>
      <w:r/>
    </w:p>
    <w:p>
      <w:pPr>
        <w:ind w:firstLine="240"/>
        <w:spacing w:line="360" w:lineRule="auto"/>
        <w:rPr>
          <w:rFonts w:hint="eastAsia" w:ascii="宋体" w:hAnsi="宋体" w:eastAsia="宋体" w:cs="宋体"/>
          <w:bCs/>
          <w:sz w:val="21"/>
          <w:szCs w:val="24"/>
        </w:rPr>
      </w:pPr>
      <w:r>
        <w:rPr>
          <w:rFonts w:hint="eastAsia" w:ascii="宋体" w:hAnsi="宋体" w:eastAsia="宋体"/>
          <w:bCs/>
          <w:position w:val="-10"/>
          <w:sz w:val="24"/>
        </w:rPr>
        <w:t xml:space="preserve">年  月   日                             年   月    日</w:t>
      </w:r>
      <w:r/>
    </w:p>
    <w:p>
      <w:pPr>
        <w:rPr>
          <w:rFonts w:hint="eastAsia" w:ascii="宋体" w:hAnsi="宋体" w:eastAsia="宋体" w:cs="仿宋"/>
          <w:sz w:val="21"/>
          <w:szCs w:val="21"/>
        </w:rPr>
      </w:pPr>
      <w:r>
        <w:rPr>
          <w:rFonts w:hint="eastAsia" w:ascii="宋体" w:hAnsi="宋体" w:eastAsia="宋体" w:cs="仿宋"/>
          <w:sz w:val="21"/>
          <w:szCs w:val="21"/>
        </w:rPr>
      </w:r>
      <w:r/>
    </w:p>
    <w:p>
      <w:pPr>
        <w:pStyle w:val="852"/>
        <w:rPr>
          <w:rFonts w:hint="eastAsia" w:ascii="宋体" w:hAnsi="宋体" w:eastAsia="宋体" w:cs="仿宋"/>
          <w:b/>
          <w:sz w:val="30"/>
          <w:szCs w:val="30"/>
        </w:rPr>
      </w:pPr>
      <w:r>
        <w:rPr>
          <w:rFonts w:hint="eastAsia" w:ascii="宋体" w:hAnsi="宋体" w:eastAsia="宋体" w:cs="仿宋"/>
          <w:b/>
          <w:sz w:val="30"/>
          <w:szCs w:val="30"/>
        </w:rPr>
      </w:r>
      <w:r/>
    </w:p>
    <w:p>
      <w:pPr>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pStyle w:val="852"/>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rPr>
          <w:rFonts w:hint="eastAsia" w:cs="仿宋" w:asciiTheme="minorEastAsia" w:hAnsiTheme="minorEastAsia" w:eastAsiaTheme="minorEastAsia"/>
          <w:b/>
          <w:sz w:val="30"/>
          <w:szCs w:val="30"/>
        </w:rPr>
      </w:pPr>
      <w:r>
        <w:rPr>
          <w:rFonts w:hint="eastAsia" w:cs="仿宋" w:asciiTheme="minorEastAsia" w:hAnsiTheme="minorEastAsia" w:eastAsiaTheme="minorEastAsia"/>
          <w:b/>
          <w:sz w:val="30"/>
          <w:szCs w:val="30"/>
        </w:rPr>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4" w:name="_Hlt26671244"/>
      <w:r/>
      <w:bookmarkStart w:id="45" w:name="_Hlt26955039"/>
      <w:r/>
      <w:bookmarkStart w:id="46" w:name="_Toc49090576"/>
      <w:r/>
      <w:bookmarkStart w:id="47" w:name="_Toc26554094"/>
      <w:r/>
      <w:bookmarkStart w:id="48" w:name="_Toc120614282"/>
      <w:r/>
      <w:bookmarkEnd w:id="44"/>
      <w:r/>
      <w:bookmarkEnd w:id="45"/>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7"/>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imes New Roman"/>
          <w:sz w:val="24"/>
          <w:szCs w:val="24"/>
        </w:rPr>
      </w:pPr>
      <w:r/>
      <w:bookmarkStart w:id="49" w:name="_Toc23838"/>
      <w:r/>
      <w:r/>
    </w:p>
    <w:p>
      <w:pPr>
        <w:jc w:val="left"/>
        <w:widowControl/>
        <w:rPr>
          <w:rFonts w:eastAsia="Times New Roman"/>
          <w:sz w:val="24"/>
          <w:szCs w:val="24"/>
        </w:rPr>
      </w:pPr>
      <w:r>
        <w:rPr>
          <w:rFonts w:eastAsia="Times New Roman"/>
          <w:sz w:val="24"/>
          <w:szCs w:val="24"/>
        </w:rPr>
      </w:r>
      <w:r/>
    </w:p>
    <w:p>
      <w:pPr>
        <w:jc w:val="left"/>
        <w:widowControl/>
        <w:rPr>
          <w:rFonts w:eastAsia="Times New Roman"/>
          <w:sz w:val="24"/>
          <w:szCs w:val="24"/>
        </w:rPr>
      </w:pPr>
      <w:r>
        <w:rPr>
          <w:rFonts w:eastAsia="Times New Roman"/>
          <w:sz w:val="24"/>
          <w:szCs w:val="24"/>
        </w:rPr>
      </w:r>
      <w:r/>
    </w:p>
    <w:p>
      <w:pPr>
        <w:jc w:val="left"/>
        <w:widowControl/>
        <w:rPr>
          <w:rFonts w:eastAsia="Times New Roman"/>
          <w:sz w:val="24"/>
          <w:szCs w:val="24"/>
        </w:rPr>
      </w:pPr>
      <w:r>
        <w:rPr>
          <w:rFonts w:eastAsia="Times New Roman"/>
          <w:sz w:val="24"/>
          <w:szCs w:val="24"/>
        </w:rPr>
        <w:br w:type="page" w:clear="all"/>
      </w:r>
      <w:bookmarkEnd w:id="49"/>
      <w:r/>
      <w:r/>
    </w:p>
    <w:p>
      <w:pPr>
        <w:rPr>
          <w:rFonts w:hint="eastAsia" w:ascii="宋体" w:hAnsi="宋体" w:eastAsia="宋体"/>
          <w:b/>
          <w:sz w:val="32"/>
          <w:szCs w:val="32"/>
        </w:rPr>
      </w:pPr>
      <w:r>
        <w:rPr>
          <w:rFonts w:hint="eastAsia" w:ascii="宋体" w:hAnsi="宋体" w:eastAsia="宋体"/>
          <w:b/>
          <w:sz w:val="32"/>
          <w:szCs w:val="32"/>
        </w:rPr>
        <w:t xml:space="preserve">一、</w:t>
      </w:r>
      <w:bookmarkStart w:id="50" w:name="_Toc120614284"/>
      <w:r/>
      <w:bookmarkEnd w:id="46"/>
      <w:r/>
      <w:bookmarkEnd w:id="47"/>
      <w:r/>
      <w:bookmarkEnd w:id="48"/>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宋体" w:hAnsi="宋体" w:eastAsia="宋体"/>
        </w:rPr>
      </w:pPr>
      <w:r>
        <w:rPr>
          <w:rFonts w:hint="eastAsia" w:ascii="宋体" w:hAnsi="宋体" w:eastAsia="宋体"/>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1" w:name="_格式3__银行出具的资信证明"/>
      <w:r/>
      <w:bookmarkStart w:id="52" w:name="_Hlt26955070"/>
      <w:r/>
      <w:bookmarkStart w:id="53" w:name="_Hlt26671380"/>
      <w:r/>
      <w:bookmarkEnd w:id="51"/>
      <w:r/>
      <w:bookmarkEnd w:id="52"/>
      <w:r/>
      <w:bookmarkEnd w:id="53"/>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27"/>
      </w:pPr>
      <w:r/>
      <w:r/>
    </w:p>
    <w:p>
      <w:pPr>
        <w:pStyle w:val="827"/>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Theme="minorEastAsia" w:hAnsiTheme="minorEastAsia" w:eastAsiaTheme="minorEastAsia"/>
        </w:rPr>
      </w:pPr>
      <w:r>
        <w:rPr>
          <w:rFonts w:hint="eastAsia" w:asciiTheme="minorEastAsia" w:hAnsiTheme="minorEastAsia" w:eastAsiaTheme="minorEastAsia"/>
        </w:rPr>
      </w:r>
      <w:r/>
    </w:p>
    <w:p>
      <w:pPr>
        <w:pStyle w:val="827"/>
        <w:rPr>
          <w:rFonts w:hint="eastAsia" w:ascii="宋体" w:hAnsi="宋体" w:eastAsia="宋体"/>
        </w:rPr>
      </w:pPr>
      <w:r>
        <w:rPr>
          <w:rFonts w:hint="eastAsia" w:ascii="宋体" w:hAnsi="宋体" w:eastAsia="宋体"/>
        </w:rPr>
      </w:r>
      <w:r/>
    </w:p>
    <w:p>
      <w:r/>
      <w:r/>
    </w:p>
    <w:p>
      <w:pPr>
        <w:pStyle w:val="827"/>
      </w:pPr>
      <w:r/>
      <w:r/>
    </w:p>
    <w:p>
      <w:pPr>
        <w:pStyle w:val="827"/>
      </w:pPr>
      <w:r/>
      <w:r/>
    </w:p>
    <w:p>
      <w:r/>
      <w:r/>
    </w:p>
    <w:p>
      <w:pPr>
        <w:jc w:val="center"/>
        <w:spacing w:line="560" w:lineRule="exact"/>
        <w:rPr>
          <w:rFonts w:hint="eastAsia" w:ascii="宋体" w:hAnsi="宋体" w:eastAsia="宋体"/>
          <w:b/>
          <w:sz w:val="32"/>
          <w:szCs w:val="32"/>
        </w:rPr>
      </w:pPr>
      <w:r>
        <w:rPr>
          <w:rFonts w:hint="eastAsia" w:ascii="宋体" w:hAnsi="宋体" w:eastAsia="宋体"/>
          <w:b/>
          <w:sz w:val="32"/>
          <w:szCs w:val="32"/>
        </w:rPr>
        <w:t xml:space="preserve">六、</w:t>
      </w:r>
      <w:r>
        <w:rPr>
          <w:rFonts w:hint="eastAsia" w:ascii="宋体" w:hAnsi="宋体" w:eastAsia="宋体"/>
          <w:b/>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产品</w:t>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规格</w:t>
            </w:r>
            <w:r/>
          </w:p>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2</w:t>
            </w:r>
            <w:r/>
          </w:p>
        </w:tc>
        <w:tc>
          <w:tcPr>
            <w:tcW w:w="103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6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3</w:t>
            </w:r>
            <w:r/>
          </w:p>
        </w:tc>
        <w:tc>
          <w:tcPr>
            <w:tcW w:w="103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6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4</w:t>
            </w:r>
            <w:r/>
          </w:p>
        </w:tc>
        <w:tc>
          <w:tcPr>
            <w:tcW w:w="103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6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sz w:val="24"/>
                <w:szCs w:val="24"/>
              </w:rPr>
            </w:pPr>
            <w:r>
              <w:rPr>
                <w:rFonts w:ascii="宋体" w:hAnsi="宋体" w:eastAsia="宋体"/>
                <w:sz w:val="24"/>
                <w:szCs w:val="24"/>
              </w:rPr>
              <w:t xml:space="preserve">…</w:t>
            </w:r>
            <w:r/>
          </w:p>
        </w:tc>
        <w:tc>
          <w:tcPr>
            <w:tcW w:w="1036" w:type="dxa"/>
            <w:vAlign w:val="center"/>
            <w:textDirection w:val="lrTb"/>
            <w:noWrap w:val="false"/>
          </w:tcPr>
          <w:p>
            <w:pPr>
              <w:spacing w:line="560" w:lineRule="exact"/>
              <w:rPr>
                <w:rFonts w:hint="eastAsia" w:ascii="宋体" w:hAnsi="宋体" w:eastAsia="宋体"/>
                <w:sz w:val="24"/>
                <w:szCs w:val="24"/>
              </w:rPr>
            </w:pPr>
            <w:r>
              <w:rPr>
                <w:rFonts w:ascii="宋体" w:hAnsi="宋体" w:eastAsia="宋体"/>
                <w:sz w:val="24"/>
                <w:szCs w:val="24"/>
              </w:rPr>
              <w:t xml:space="preserve">……</w:t>
            </w:r>
            <w:r/>
          </w:p>
        </w:tc>
        <w:tc>
          <w:tcPr>
            <w:tcW w:w="96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总报价（人民币：元）</w:t>
            </w:r>
            <w:r/>
          </w:p>
        </w:tc>
        <w:tc>
          <w:tcPr>
            <w:tcW w:w="1246" w:type="dxa"/>
            <w:textDirection w:val="lrTb"/>
            <w:noWrap w:val="false"/>
          </w:tcPr>
          <w:p>
            <w:pPr>
              <w:spacing w:line="560" w:lineRule="exact"/>
              <w:rPr>
                <w:rFonts w:hint="eastAsia" w:ascii="宋体" w:hAnsi="宋体" w:eastAsia="宋体"/>
                <w:sz w:val="24"/>
                <w:szCs w:val="24"/>
              </w:rPr>
            </w:pPr>
            <w:r>
              <w:rPr>
                <w:rFonts w:hint="eastAsia" w:ascii="宋体" w:hAnsi="宋体" w:eastAsia="宋体"/>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4"/>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3"/>
        <w:jc w:val="center"/>
        <w:rPr>
          <w:rFonts w:hint="eastAsia" w:ascii="宋体" w:hAnsi="宋体"/>
          <w:b/>
          <w:sz w:val="36"/>
          <w:szCs w:val="36"/>
        </w:rPr>
      </w:pPr>
      <w:r>
        <w:rPr>
          <w:rFonts w:hint="eastAsia" w:ascii="宋体" w:hAnsi="宋体"/>
          <w:b/>
          <w:sz w:val="36"/>
          <w:szCs w:val="36"/>
        </w:rPr>
        <w:t xml:space="preserve">中小企业声明函（货物）</w:t>
      </w:r>
      <w:r/>
    </w:p>
    <w:p>
      <w:pPr>
        <w:pStyle w:val="1043"/>
        <w:jc w:val="left"/>
        <w:rPr>
          <w:rFonts w:hint="eastAsia" w:ascii="宋体" w:hAnsi="宋体"/>
          <w:b/>
          <w:sz w:val="32"/>
          <w:szCs w:val="32"/>
        </w:rPr>
      </w:pPr>
      <w:r>
        <w:rPr>
          <w:rFonts w:hint="eastAsia" w:ascii="宋体" w:hAnsi="宋体"/>
          <w:b/>
          <w:sz w:val="32"/>
          <w:szCs w:val="32"/>
        </w:rPr>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3"/>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3"/>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3"/>
        <w:ind w:firstLine="480"/>
        <w:jc w:val="left"/>
        <w:spacing w:line="500" w:lineRule="exact"/>
        <w:rPr>
          <w:rFonts w:hint="eastAsia" w:ascii="宋体" w:hAnsi="宋体"/>
          <w:sz w:val="24"/>
          <w:szCs w:val="24"/>
        </w:rPr>
      </w:pPr>
      <w:r>
        <w:rPr>
          <w:rFonts w:ascii="宋体" w:hAnsi="宋体"/>
          <w:sz w:val="24"/>
          <w:szCs w:val="24"/>
        </w:rPr>
        <w:t xml:space="preserve">……</w:t>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3"/>
        <w:ind w:firstLine="480"/>
        <w:jc w:val="center"/>
        <w:spacing w:line="500" w:lineRule="exact"/>
        <w:rPr>
          <w:rFonts w:hint="eastAsia" w:ascii="宋体" w:hAnsi="宋体"/>
          <w:sz w:val="24"/>
          <w:szCs w:val="24"/>
        </w:rPr>
      </w:pPr>
      <w:r>
        <w:rPr>
          <w:rFonts w:hint="eastAsia" w:ascii="宋体" w:hAnsi="宋体"/>
          <w:sz w:val="24"/>
          <w:szCs w:val="24"/>
        </w:rPr>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3"/>
        <w:ind w:firstLine="560"/>
        <w:spacing w:line="560" w:lineRule="exact"/>
        <w:rPr>
          <w:rFonts w:hint="eastAsia" w:ascii="宋体" w:hAnsi="宋体"/>
          <w:sz w:val="28"/>
          <w:szCs w:val="28"/>
        </w:rPr>
      </w:pPr>
      <w:r>
        <w:rPr>
          <w:rFonts w:hint="eastAsia" w:ascii="宋体" w:hAnsi="宋体"/>
          <w:sz w:val="28"/>
          <w:szCs w:val="28"/>
        </w:rPr>
      </w:r>
      <w:r/>
    </w:p>
    <w:p>
      <w:pPr>
        <w:pStyle w:val="1043"/>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3"/>
        <w:jc w:val="center"/>
        <w:rPr>
          <w:rFonts w:hint="eastAsia" w:ascii="宋体" w:hAnsi="宋体"/>
          <w:b/>
          <w:sz w:val="36"/>
          <w:szCs w:val="36"/>
        </w:rPr>
      </w:pPr>
      <w:r>
        <w:rPr>
          <w:rFonts w:hint="eastAsia" w:ascii="宋体" w:hAnsi="宋体"/>
          <w:b/>
          <w:sz w:val="36"/>
          <w:szCs w:val="36"/>
        </w:rPr>
      </w:r>
      <w:r/>
    </w:p>
    <w:p>
      <w:pPr>
        <w:pStyle w:val="1043"/>
        <w:rPr>
          <w:rFonts w:hint="eastAsia" w:ascii="宋体" w:hAnsi="宋体"/>
          <w:b/>
          <w:sz w:val="36"/>
          <w:szCs w:val="36"/>
        </w:rPr>
      </w:pPr>
      <w:r>
        <w:rPr>
          <w:rFonts w:hint="eastAsia" w:ascii="宋体" w:hAnsi="宋体"/>
          <w:b/>
          <w:sz w:val="36"/>
          <w:szCs w:val="36"/>
        </w:rPr>
      </w:r>
      <w:r/>
    </w:p>
    <w:p>
      <w:pPr>
        <w:pStyle w:val="1043"/>
        <w:jc w:val="center"/>
        <w:rPr>
          <w:rFonts w:hint="eastAsia" w:ascii="宋体" w:hAnsi="宋体"/>
          <w:b/>
          <w:sz w:val="36"/>
          <w:szCs w:val="36"/>
        </w:rPr>
      </w:pPr>
      <w:r>
        <w:rPr>
          <w:rFonts w:hint="eastAsia" w:ascii="宋体" w:hAnsi="宋体"/>
          <w:b/>
          <w:sz w:val="36"/>
          <w:szCs w:val="36"/>
        </w:rPr>
      </w:r>
      <w:r/>
    </w:p>
    <w:p>
      <w:pPr>
        <w:pStyle w:val="1043"/>
        <w:jc w:val="center"/>
        <w:rPr>
          <w:rFonts w:hint="eastAsia" w:ascii="宋体" w:hAnsi="宋体"/>
          <w:b/>
          <w:sz w:val="36"/>
          <w:szCs w:val="36"/>
        </w:rPr>
      </w:pPr>
      <w:r>
        <w:rPr>
          <w:rFonts w:hint="eastAsia" w:ascii="宋体" w:hAnsi="宋体"/>
          <w:b/>
          <w:sz w:val="36"/>
          <w:szCs w:val="36"/>
        </w:rPr>
      </w:r>
      <w:r/>
    </w:p>
    <w:p>
      <w:pPr>
        <w:pStyle w:val="1043"/>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3"/>
        <w:jc w:val="center"/>
        <w:rPr>
          <w:rFonts w:hint="eastAsia" w:ascii="宋体" w:hAnsi="宋体"/>
          <w:b/>
          <w:sz w:val="36"/>
          <w:szCs w:val="36"/>
        </w:rPr>
      </w:pPr>
      <w:r>
        <w:rPr>
          <w:rFonts w:hint="eastAsia" w:ascii="宋体" w:hAnsi="宋体"/>
          <w:b/>
          <w:sz w:val="36"/>
          <w:szCs w:val="36"/>
        </w:rPr>
      </w:r>
      <w:r/>
    </w:p>
    <w:p>
      <w:pPr>
        <w:pStyle w:val="1043"/>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43"/>
        <w:jc w:val="left"/>
        <w:rPr>
          <w:rFonts w:hint="eastAsia" w:ascii="宋体" w:hAnsi="宋体"/>
          <w:b/>
          <w:sz w:val="32"/>
          <w:szCs w:val="32"/>
        </w:rPr>
      </w:pPr>
      <w:r>
        <w:rPr>
          <w:rFonts w:hint="eastAsia" w:ascii="宋体" w:hAnsi="宋体"/>
          <w:b/>
          <w:sz w:val="32"/>
          <w:szCs w:val="32"/>
        </w:rPr>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3"/>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3"/>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3"/>
        <w:ind w:firstLine="480"/>
        <w:jc w:val="left"/>
        <w:spacing w:line="500" w:lineRule="exact"/>
        <w:rPr>
          <w:rFonts w:hint="eastAsia" w:ascii="宋体" w:hAnsi="宋体"/>
          <w:sz w:val="24"/>
          <w:szCs w:val="24"/>
        </w:rPr>
      </w:pPr>
      <w:r>
        <w:rPr>
          <w:rFonts w:ascii="宋体" w:hAnsi="宋体"/>
          <w:sz w:val="24"/>
          <w:szCs w:val="24"/>
        </w:rPr>
        <w:t xml:space="preserve">……</w:t>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3"/>
        <w:ind w:firstLine="480"/>
        <w:jc w:val="center"/>
        <w:spacing w:line="500" w:lineRule="exact"/>
        <w:rPr>
          <w:rFonts w:hint="eastAsia" w:ascii="宋体" w:hAnsi="宋体"/>
          <w:sz w:val="24"/>
          <w:szCs w:val="24"/>
        </w:rPr>
      </w:pPr>
      <w:r>
        <w:rPr>
          <w:rFonts w:hint="eastAsia" w:ascii="宋体" w:hAnsi="宋体"/>
          <w:sz w:val="24"/>
          <w:szCs w:val="24"/>
        </w:rPr>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43"/>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3"/>
        <w:ind w:firstLine="480"/>
        <w:spacing w:line="500" w:lineRule="exact"/>
        <w:rPr>
          <w:rFonts w:hint="eastAsia" w:ascii="宋体" w:hAnsi="宋体"/>
          <w:sz w:val="24"/>
          <w:szCs w:val="24"/>
        </w:rPr>
      </w:pPr>
      <w:r>
        <w:rPr>
          <w:rFonts w:hint="eastAsia" w:ascii="宋体" w:hAnsi="宋体"/>
          <w:sz w:val="24"/>
          <w:szCs w:val="24"/>
        </w:rPr>
      </w:r>
      <w:r/>
    </w:p>
    <w:p>
      <w:pPr>
        <w:pStyle w:val="1043"/>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3"/>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43"/>
        <w:spacing w:before="151" w:after="151" w:line="600" w:lineRule="exact"/>
        <w:rPr>
          <w:rFonts w:hint="eastAsia" w:ascii="宋体" w:hAnsi="宋体"/>
          <w:b/>
          <w:bCs/>
          <w:sz w:val="32"/>
          <w:szCs w:val="32"/>
        </w:rPr>
      </w:pPr>
      <w:r>
        <w:rPr>
          <w:rFonts w:hint="eastAsia" w:ascii="宋体" w:hAnsi="宋体"/>
          <w:b/>
          <w:bCs/>
          <w:sz w:val="32"/>
          <w:szCs w:val="32"/>
        </w:rPr>
      </w:r>
      <w:r/>
    </w:p>
    <w:p>
      <w:pPr>
        <w:pStyle w:val="1043"/>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3"/>
        <w:rPr>
          <w:rFonts w:hint="eastAsia" w:ascii="宋体" w:hAnsi="宋体"/>
          <w:b/>
          <w:sz w:val="36"/>
          <w:szCs w:val="36"/>
        </w:rPr>
      </w:pPr>
      <w:r>
        <w:rPr>
          <w:rFonts w:hint="eastAsia" w:ascii="宋体" w:hAnsi="宋体"/>
          <w:b/>
          <w:sz w:val="36"/>
          <w:szCs w:val="36"/>
        </w:rPr>
      </w:r>
      <w:r/>
    </w:p>
    <w:p>
      <w:pPr>
        <w:pStyle w:val="1045"/>
        <w:jc w:val="center"/>
        <w:spacing w:before="151" w:after="151" w:line="600" w:lineRule="exact"/>
        <w:rPr>
          <w:rFonts w:hint="eastAsia" w:ascii="宋体" w:hAnsi="宋体"/>
          <w:b/>
          <w:bCs/>
          <w:sz w:val="32"/>
          <w:szCs w:val="32"/>
        </w:rPr>
      </w:pPr>
      <w:r>
        <w:rPr>
          <w:rFonts w:hint="eastAsia" w:ascii="宋体" w:hAnsi="宋体"/>
          <w:b/>
          <w:bCs/>
          <w:sz w:val="32"/>
          <w:szCs w:val="32"/>
        </w:rPr>
        <w:t xml:space="preserve">残疾人福利性单位声明函</w:t>
      </w:r>
      <w:r/>
    </w:p>
    <w:p>
      <w:pPr>
        <w:pStyle w:val="1046"/>
        <w:spacing w:line="588" w:lineRule="exact"/>
        <w:rPr>
          <w:rFonts w:hint="eastAsia" w:ascii="宋体" w:hAnsi="宋体"/>
          <w:b/>
          <w:spacing w:val="6"/>
          <w:sz w:val="30"/>
          <w:szCs w:val="30"/>
        </w:rPr>
      </w:pPr>
      <w:r>
        <w:rPr>
          <w:rFonts w:hint="eastAsia" w:ascii="宋体" w:hAnsi="宋体"/>
          <w:b/>
          <w:spacing w:val="6"/>
          <w:sz w:val="30"/>
          <w:szCs w:val="30"/>
        </w:rPr>
      </w:r>
      <w:r/>
    </w:p>
    <w:p>
      <w:pPr>
        <w:pStyle w:val="1045"/>
        <w:ind w:firstLine="480"/>
        <w:spacing w:line="5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45"/>
        <w:ind w:firstLine="480"/>
        <w:spacing w:line="5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7"/>
        <w:ind w:firstLine="3810"/>
        <w:spacing w:line="500" w:lineRule="exact"/>
        <w:rPr>
          <w:rFonts w:hint="eastAsia" w:ascii="宋体" w:hAnsi="宋体"/>
          <w:spacing w:val="6"/>
          <w:sz w:val="24"/>
          <w:szCs w:val="24"/>
        </w:rPr>
      </w:pPr>
      <w:r>
        <w:rPr>
          <w:rFonts w:hint="eastAsia" w:ascii="宋体" w:hAnsi="宋体"/>
          <w:spacing w:val="6"/>
          <w:sz w:val="24"/>
          <w:szCs w:val="24"/>
        </w:rPr>
      </w:r>
      <w:r/>
    </w:p>
    <w:p>
      <w:pPr>
        <w:pStyle w:val="1047"/>
        <w:ind w:firstLine="3629"/>
        <w:jc w:val="left"/>
        <w:spacing w:line="500" w:lineRule="exact"/>
        <w:rPr>
          <w:rFonts w:hint="eastAsia" w:ascii="宋体" w:hAnsi="宋体"/>
          <w:sz w:val="24"/>
        </w:rPr>
      </w:pPr>
      <w:r>
        <w:rPr>
          <w:rFonts w:hint="eastAsia" w:ascii="宋体" w:hAnsi="宋体"/>
          <w:sz w:val="24"/>
        </w:rPr>
      </w:r>
      <w:r/>
    </w:p>
    <w:p>
      <w:pPr>
        <w:pStyle w:val="1047"/>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43"/>
        <w:ind w:firstLine="480"/>
        <w:jc w:val="left"/>
        <w:spacing w:line="500" w:lineRule="exact"/>
        <w:rPr>
          <w:rFonts w:hint="eastAsia" w:ascii="宋体" w:hAnsi="宋体"/>
          <w:sz w:val="24"/>
          <w:szCs w:val="20"/>
        </w:rPr>
      </w:pPr>
      <w:r>
        <w:rPr>
          <w:rFonts w:hint="eastAsia" w:ascii="宋体" w:hAnsi="宋体"/>
          <w:sz w:val="24"/>
          <w:szCs w:val="20"/>
        </w:rPr>
        <w:t xml:space="preserve">日期：  年  月  日</w:t>
      </w:r>
      <w:r/>
    </w:p>
    <w:p>
      <w:pPr>
        <w:pStyle w:val="1046"/>
        <w:ind w:right="1560" w:firstLine="480"/>
        <w:jc w:val="center"/>
        <w:spacing w:line="588" w:lineRule="exact"/>
        <w:tabs>
          <w:tab w:val="left" w:pos="4860" w:leader="none"/>
        </w:tabs>
        <w:rPr>
          <w:rFonts w:hint="eastAsia" w:ascii="宋体" w:hAnsi="宋体" w:cs="Arial"/>
          <w:sz w:val="24"/>
          <w:szCs w:val="24"/>
        </w:rPr>
      </w:pPr>
      <w:r>
        <w:rPr>
          <w:rFonts w:hint="eastAsia" w:ascii="宋体" w:hAnsi="宋体" w:cs="Arial"/>
          <w:sz w:val="24"/>
          <w:szCs w:val="24"/>
        </w:rPr>
      </w:r>
      <w:r/>
    </w:p>
    <w:p>
      <w:pPr>
        <w:pStyle w:val="1048"/>
        <w:ind w:left="357" w:firstLine="0"/>
        <w:spacing w:line="500" w:lineRule="exact"/>
        <w:rPr>
          <w:rFonts w:hint="eastAsia" w:ascii="宋体" w:hAnsi="宋体" w:cs="Arial"/>
          <w:sz w:val="24"/>
          <w:szCs w:val="24"/>
        </w:rPr>
      </w:pPr>
      <w:r>
        <w:rPr>
          <w:rFonts w:hint="eastAsia" w:ascii="宋体" w:hAnsi="宋体" w:cs="Arial"/>
          <w:sz w:val="24"/>
          <w:szCs w:val="24"/>
        </w:rPr>
      </w:r>
      <w:r/>
    </w:p>
    <w:p>
      <w:pPr>
        <w:pStyle w:val="1045"/>
        <w:ind w:firstLine="445"/>
        <w:spacing w:before="151" w:after="151" w:line="240" w:lineRule="atLeast"/>
        <w:rPr>
          <w:rFonts w:hint="eastAsia" w:ascii="宋体" w:hAnsi="宋体"/>
          <w:sz w:val="24"/>
        </w:rPr>
      </w:pPr>
      <w:r>
        <w:rPr>
          <w:rFonts w:hint="eastAsia" w:ascii="宋体" w:hAnsi="宋体"/>
          <w:sz w:val="24"/>
        </w:rPr>
        <w:t xml:space="preserve">注：非残疾人福利性单位不需提供此函。</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sz w:val="32"/>
          <w:szCs w:val="32"/>
        </w:rPr>
        <w:t xml:space="preserve">技术要求响应及偏离表</w:t>
      </w:r>
      <w:r/>
    </w:p>
    <w:tbl>
      <w:tblPr>
        <w:tblW w:w="0" w:type="auto"/>
        <w:tblCellSpacing w:w="0" w:type="dxa"/>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left"/>
        <w:keepLines/>
        <w:spacing w:before="120" w:after="120" w:line="416" w:lineRule="auto"/>
        <w:rPr>
          <w:rFonts w:eastAsia="宋体"/>
          <w:sz w:val="24"/>
          <w:szCs w:val="21"/>
        </w:rPr>
        <w:outlineLvl w:val="1"/>
      </w:pPr>
      <w:r>
        <w:rPr>
          <w:rFonts w:eastAsia="宋体"/>
          <w:sz w:val="24"/>
          <w:szCs w:val="21"/>
        </w:rPr>
        <w:t xml:space="preserve">1.</w:t>
      </w:r>
      <w:r>
        <w:rPr>
          <w:rFonts w:hint="eastAsia" w:eastAsia="宋体"/>
          <w:sz w:val="24"/>
          <w:szCs w:val="21"/>
        </w:rPr>
        <w:t xml:space="preserve">投标人</w:t>
      </w:r>
      <w:r>
        <w:rPr>
          <w:rFonts w:eastAsia="宋体"/>
          <w:sz w:val="24"/>
          <w:szCs w:val="21"/>
        </w:rPr>
        <w:t xml:space="preserve">必须对技术要求和商务要求中的实质性要求（加斜体下划线内容或打</w:t>
      </w:r>
      <w:r>
        <w:rPr>
          <w:rFonts w:eastAsia="宋体"/>
          <w:sz w:val="24"/>
          <w:szCs w:val="21"/>
        </w:rPr>
        <w:t xml:space="preserve">“</w:t>
      </w:r>
      <w:r>
        <w:rPr>
          <w:rFonts w:hint="eastAsia" w:ascii="宋体" w:hAnsi="宋体" w:eastAsia="宋体" w:cs="宋体"/>
          <w:sz w:val="24"/>
          <w:szCs w:val="21"/>
        </w:rPr>
        <w:t xml:space="preserve">★</w:t>
      </w:r>
      <w:r>
        <w:rPr>
          <w:rFonts w:eastAsia="宋体"/>
          <w:sz w:val="24"/>
          <w:szCs w:val="21"/>
        </w:rPr>
        <w:t xml:space="preserve">”</w:t>
      </w:r>
      <w:r>
        <w:rPr>
          <w:rFonts w:eastAsia="宋体"/>
          <w:sz w:val="24"/>
          <w:szCs w:val="21"/>
        </w:rPr>
        <w:t xml:space="preserve">内容）做出明确响应，否则作无效响应处理。</w:t>
      </w:r>
      <w:r/>
    </w:p>
    <w:p>
      <w:pPr>
        <w:spacing w:line="588" w:lineRule="exact"/>
        <w:rPr>
          <w:rFonts w:eastAsia="宋体"/>
          <w:sz w:val="24"/>
          <w:szCs w:val="21"/>
        </w:rPr>
      </w:pPr>
      <w:r>
        <w:rPr>
          <w:rFonts w:eastAsia="宋体"/>
          <w:sz w:val="24"/>
          <w:szCs w:val="21"/>
        </w:rPr>
        <w:t xml:space="preserve">2.</w:t>
      </w:r>
      <w:r>
        <w:rPr>
          <w:rFonts w:eastAsia="宋体"/>
          <w:sz w:val="24"/>
          <w:szCs w:val="21"/>
        </w:rPr>
        <w:t xml:space="preserve">如果采购文件要求提供证明材料，</w:t>
      </w:r>
      <w:r>
        <w:rPr>
          <w:rFonts w:hint="eastAsia" w:eastAsia="宋体"/>
          <w:sz w:val="24"/>
          <w:szCs w:val="21"/>
        </w:rPr>
        <w:t xml:space="preserve">投标人</w:t>
      </w:r>
      <w:r>
        <w:rPr>
          <w:rFonts w:eastAsia="宋体"/>
          <w:sz w:val="24"/>
          <w:szCs w:val="21"/>
        </w:rPr>
        <w:t xml:space="preserve">必须将证明材料列于该表之下。</w:t>
      </w:r>
      <w:r/>
    </w:p>
    <w:p>
      <w:pPr>
        <w:spacing w:line="588" w:lineRule="exact"/>
        <w:rPr>
          <w:rFonts w:eastAsia="宋体"/>
          <w:sz w:val="24"/>
          <w:szCs w:val="21"/>
        </w:rPr>
      </w:pPr>
      <w:r>
        <w:rPr>
          <w:rFonts w:eastAsia="宋体"/>
          <w:sz w:val="24"/>
          <w:szCs w:val="21"/>
        </w:rPr>
        <w:t xml:space="preserve">3.</w:t>
      </w:r>
      <w:r>
        <w:rPr>
          <w:rFonts w:hint="eastAsia" w:eastAsia="宋体"/>
          <w:sz w:val="24"/>
          <w:szCs w:val="21"/>
        </w:rPr>
        <w:t xml:space="preserve">投标人</w:t>
      </w:r>
      <w:r>
        <w:rPr>
          <w:rFonts w:eastAsia="宋体"/>
          <w:sz w:val="24"/>
          <w:szCs w:val="21"/>
        </w:rPr>
        <w:t xml:space="preserve">未对实质性要求作出明确响应的，或未按采购文件要求提供证明材料的，该分包作无效响应处理。</w:t>
      </w:r>
      <w:r/>
    </w:p>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827"/>
      </w:pPr>
      <w:r/>
      <w:r/>
    </w:p>
    <w:p>
      <w:r/>
      <w:r/>
    </w:p>
    <w:p>
      <w:pPr>
        <w:pStyle w:val="827"/>
      </w:pPr>
      <w:r/>
      <w:r/>
    </w:p>
    <w:p>
      <w:r/>
      <w:r/>
    </w:p>
    <w:p>
      <w:pPr>
        <w:pStyle w:val="827"/>
      </w:pPr>
      <w:r/>
      <w:r/>
    </w:p>
    <w:p>
      <w:pPr>
        <w:pStyle w:val="827"/>
      </w:pPr>
      <w:r/>
      <w:r/>
    </w:p>
    <w:p>
      <w:pPr>
        <w:jc w:val="center"/>
        <w:widowControl/>
        <w:rPr>
          <w:rFonts w:hint="eastAsia" w:ascii="宋体" w:hAnsi="宋体" w:eastAsia="宋体" w:cs="宋体"/>
          <w:sz w:val="24"/>
          <w:szCs w:val="24"/>
        </w:rPr>
      </w:pPr>
      <w:r>
        <w:rPr>
          <w:rFonts w:hint="eastAsia" w:ascii="黑体" w:hAnsi="黑体" w:eastAsia="黑体" w:cs="宋体"/>
          <w:b/>
          <w:bCs/>
          <w:sz w:val="32"/>
          <w:szCs w:val="32"/>
        </w:rPr>
        <w:t xml:space="preserve">商务要求响应及偏离表</w:t>
      </w:r>
      <w:r/>
    </w:p>
    <w:tbl>
      <w:tblPr>
        <w:tblW w:w="0" w:type="auto"/>
        <w:tblCellSpacing w:w="0" w:type="dxa"/>
        <w:tblLook w:val="04A0" w:firstRow="1" w:lastRow="0" w:firstColumn="1" w:lastColumn="0" w:noHBand="0" w:noVBand="1"/>
      </w:tblPr>
      <w:tblGrid>
        <w:gridCol w:w="541"/>
        <w:gridCol w:w="3040"/>
        <w:gridCol w:w="2620"/>
        <w:gridCol w:w="1250"/>
        <w:gridCol w:w="1105"/>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27"/>
      </w:pPr>
      <w:r/>
      <w:r/>
    </w:p>
    <w:p>
      <w:r/>
      <w:r/>
    </w:p>
    <w:p>
      <w:pPr>
        <w:pStyle w:val="827"/>
      </w:pPr>
      <w:r/>
      <w:r/>
    </w:p>
    <w:p>
      <w:r/>
      <w:r/>
    </w:p>
    <w:p>
      <w:pPr>
        <w:pStyle w:val="827"/>
      </w:pPr>
      <w:r/>
      <w:r/>
    </w:p>
    <w:p>
      <w:r/>
      <w:r/>
    </w:p>
    <w:p>
      <w:pPr>
        <w:pStyle w:val="827"/>
      </w:pPr>
      <w:r/>
      <w:r/>
    </w:p>
    <w:p>
      <w:r/>
      <w:r/>
    </w:p>
    <w:p>
      <w:pPr>
        <w:pStyle w:val="827"/>
      </w:pPr>
      <w:r/>
      <w:r/>
    </w:p>
    <w:p>
      <w:r/>
      <w:r/>
    </w:p>
    <w:p>
      <w:pPr>
        <w:pStyle w:val="827"/>
      </w:pPr>
      <w:r/>
      <w:r/>
    </w:p>
    <w:p>
      <w:r/>
      <w:r/>
    </w:p>
    <w:p>
      <w:pPr>
        <w:pStyle w:val="827"/>
      </w:pPr>
      <w:r/>
      <w:r/>
    </w:p>
    <w:p>
      <w:r/>
      <w:r/>
    </w:p>
    <w:p>
      <w:pPr>
        <w:pStyle w:val="827"/>
      </w:p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4" w:name="_Toc11176"/>
      <w:r>
        <w:rPr>
          <w:rFonts w:hint="eastAsia" w:eastAsia="黑体" w:cs="黑体"/>
          <w:b/>
          <w:sz w:val="32"/>
          <w:szCs w:val="24"/>
        </w:rPr>
        <w:t xml:space="preserve">十、</w:t>
      </w:r>
      <w:bookmarkEnd w:id="54"/>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5" w:name="_Toc28140"/>
      <w:r>
        <w:rPr>
          <w:rFonts w:hint="eastAsia" w:eastAsia="黑体" w:cs="黑体"/>
          <w:b/>
          <w:sz w:val="32"/>
          <w:szCs w:val="24"/>
        </w:rPr>
        <w:t xml:space="preserve">十一</w:t>
      </w:r>
      <w:r>
        <w:rPr>
          <w:rFonts w:eastAsia="黑体" w:cs="黑体"/>
          <w:b/>
          <w:sz w:val="32"/>
          <w:szCs w:val="24"/>
        </w:rPr>
        <w:t xml:space="preserve">、投标所需其他材料</w:t>
      </w:r>
      <w:bookmarkEnd w:id="55"/>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0"/>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6" w:name="_Hlt26955066"/>
      <w:r/>
      <w:bookmarkStart w:id="57" w:name="_Hlt26671374"/>
      <w:r/>
      <w:bookmarkStart w:id="58" w:name="_Hlt26609389"/>
      <w:r/>
      <w:bookmarkStart w:id="59" w:name="_Toc462564146"/>
      <w:r/>
      <w:bookmarkEnd w:id="56"/>
      <w:r/>
      <w:bookmarkEnd w:id="57"/>
      <w:r/>
      <w:bookmarkEnd w:id="58"/>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0" w:name="_格式2__法定代表人授权书"/>
      <w:r/>
      <w:bookmarkEnd w:id="59"/>
      <w:r/>
      <w:bookmarkEnd w:id="60"/>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pPr>
        <w:pStyle w:val="101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r/>
      <w:r/>
    </w:p>
    <w:p>
      <w:r/>
      <w:r/>
    </w:p>
    <w:p>
      <w:pPr>
        <w:pStyle w:val="101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等线">
    <w:panose1 w:val="02010600030101010101"/>
  </w:font>
  <w:font w:name="仿宋">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6"/>
          <w:jc w:val="center"/>
        </w:pPr>
        <w:r>
          <w:fldChar w:fldCharType="begin"/>
        </w:r>
        <w:r>
          <w:instrText xml:space="preserve">PAGE   \* MERGEFORMAT</w:instrText>
        </w:r>
        <w:r>
          <w:fldChar w:fldCharType="separate"/>
        </w:r>
        <w:r>
          <w:rPr>
            <w:lang w:val="zh-CN"/>
          </w:rPr>
          <w:t xml:space="preserve">3</w:t>
        </w:r>
        <w:r>
          <w:rPr>
            <w:lang w:val="zh-CN"/>
          </w:rPr>
          <w:t xml:space="preserve">0</w:t>
        </w:r>
        <w:r>
          <w:rPr>
            <w:lang w:val="zh-CN"/>
          </w:rPr>
          <w:fldChar w:fldCharType="end"/>
        </w:r>
        <w:r/>
      </w:p>
    </w:sdtContent>
  </w:sdt>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japaneseCounting"/>
      <w:isLgl w:val="false"/>
      <w:suff w:val="tab"/>
      <w:lvlText w:val="%1、"/>
      <w:lvlJc w:val="left"/>
      <w:pPr>
        <w:ind w:left="720" w:hanging="720"/>
      </w:pPr>
      <w:rPr>
        <w:rFonts w:hint="default" w:ascii="宋体" w:hAnsi="宋体" w:eastAsia="宋体"/>
        <w:b/>
        <w:sz w:val="28"/>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1"/>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819"/>
    <w:link w:val="810"/>
    <w:uiPriority w:val="9"/>
    <w:rPr>
      <w:rFonts w:ascii="Arial" w:hAnsi="Arial" w:eastAsia="Arial" w:cs="Arial"/>
      <w:sz w:val="40"/>
      <w:szCs w:val="40"/>
    </w:rPr>
  </w:style>
  <w:style w:type="character" w:styleId="774">
    <w:name w:val="Heading 2 Char"/>
    <w:basedOn w:val="819"/>
    <w:link w:val="811"/>
    <w:uiPriority w:val="9"/>
    <w:rPr>
      <w:rFonts w:ascii="Arial" w:hAnsi="Arial" w:eastAsia="Arial" w:cs="Arial"/>
      <w:sz w:val="34"/>
    </w:rPr>
  </w:style>
  <w:style w:type="character" w:styleId="775">
    <w:name w:val="Heading 3 Char"/>
    <w:basedOn w:val="819"/>
    <w:link w:val="812"/>
    <w:uiPriority w:val="9"/>
    <w:rPr>
      <w:rFonts w:ascii="Arial" w:hAnsi="Arial" w:eastAsia="Arial" w:cs="Arial"/>
      <w:sz w:val="30"/>
      <w:szCs w:val="30"/>
    </w:rPr>
  </w:style>
  <w:style w:type="character" w:styleId="776">
    <w:name w:val="Heading 4 Char"/>
    <w:basedOn w:val="819"/>
    <w:link w:val="813"/>
    <w:uiPriority w:val="9"/>
    <w:rPr>
      <w:rFonts w:ascii="Arial" w:hAnsi="Arial" w:eastAsia="Arial" w:cs="Arial"/>
      <w:b/>
      <w:bCs/>
      <w:sz w:val="26"/>
      <w:szCs w:val="26"/>
    </w:rPr>
  </w:style>
  <w:style w:type="character" w:styleId="777">
    <w:name w:val="Heading 5 Char"/>
    <w:basedOn w:val="819"/>
    <w:link w:val="814"/>
    <w:uiPriority w:val="9"/>
    <w:rPr>
      <w:rFonts w:ascii="Arial" w:hAnsi="Arial" w:eastAsia="Arial" w:cs="Arial"/>
      <w:b/>
      <w:bCs/>
      <w:sz w:val="24"/>
      <w:szCs w:val="24"/>
    </w:rPr>
  </w:style>
  <w:style w:type="character" w:styleId="778">
    <w:name w:val="Heading 6 Char"/>
    <w:basedOn w:val="819"/>
    <w:link w:val="815"/>
    <w:uiPriority w:val="9"/>
    <w:rPr>
      <w:rFonts w:ascii="Arial" w:hAnsi="Arial" w:eastAsia="Arial" w:cs="Arial"/>
      <w:b/>
      <w:bCs/>
      <w:sz w:val="22"/>
      <w:szCs w:val="22"/>
    </w:rPr>
  </w:style>
  <w:style w:type="character" w:styleId="779">
    <w:name w:val="Heading 7 Char"/>
    <w:basedOn w:val="819"/>
    <w:link w:val="816"/>
    <w:uiPriority w:val="9"/>
    <w:rPr>
      <w:rFonts w:ascii="Arial" w:hAnsi="Arial" w:eastAsia="Arial" w:cs="Arial"/>
      <w:b/>
      <w:bCs/>
      <w:i/>
      <w:iCs/>
      <w:sz w:val="22"/>
      <w:szCs w:val="22"/>
    </w:rPr>
  </w:style>
  <w:style w:type="character" w:styleId="780">
    <w:name w:val="Heading 8 Char"/>
    <w:basedOn w:val="819"/>
    <w:link w:val="817"/>
    <w:uiPriority w:val="9"/>
    <w:rPr>
      <w:rFonts w:ascii="Arial" w:hAnsi="Arial" w:eastAsia="Arial" w:cs="Arial"/>
      <w:i/>
      <w:iCs/>
      <w:sz w:val="22"/>
      <w:szCs w:val="22"/>
    </w:rPr>
  </w:style>
  <w:style w:type="character" w:styleId="781">
    <w:name w:val="Heading 9 Char"/>
    <w:basedOn w:val="819"/>
    <w:link w:val="818"/>
    <w:uiPriority w:val="9"/>
    <w:rPr>
      <w:rFonts w:ascii="Arial" w:hAnsi="Arial" w:eastAsia="Arial" w:cs="Arial"/>
      <w:i/>
      <w:iCs/>
      <w:sz w:val="21"/>
      <w:szCs w:val="21"/>
    </w:rPr>
  </w:style>
  <w:style w:type="character" w:styleId="782">
    <w:name w:val="Title Char"/>
    <w:basedOn w:val="819"/>
    <w:link w:val="850"/>
    <w:uiPriority w:val="10"/>
    <w:rPr>
      <w:sz w:val="48"/>
      <w:szCs w:val="48"/>
    </w:rPr>
  </w:style>
  <w:style w:type="character" w:styleId="783">
    <w:name w:val="Subtitle Char"/>
    <w:basedOn w:val="819"/>
    <w:link w:val="843"/>
    <w:uiPriority w:val="11"/>
    <w:rPr>
      <w:sz w:val="24"/>
      <w:szCs w:val="24"/>
    </w:rPr>
  </w:style>
  <w:style w:type="character" w:styleId="784">
    <w:name w:val="Quote Char"/>
    <w:link w:val="873"/>
    <w:uiPriority w:val="29"/>
    <w:rPr>
      <w:i/>
    </w:rPr>
  </w:style>
  <w:style w:type="character" w:styleId="785">
    <w:name w:val="Intense Quote Char"/>
    <w:link w:val="875"/>
    <w:uiPriority w:val="30"/>
    <w:rPr>
      <w:i/>
    </w:rPr>
  </w:style>
  <w:style w:type="character" w:styleId="786">
    <w:name w:val="Caption Char"/>
    <w:basedOn w:val="825"/>
    <w:link w:val="836"/>
    <w:uiPriority w:val="99"/>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44"/>
    <w:uiPriority w:val="99"/>
    <w:rPr>
      <w:sz w:val="18"/>
    </w:rPr>
  </w:style>
  <w:style w:type="character" w:styleId="807">
    <w:name w:val="Endnote Text Char"/>
    <w:link w:val="834"/>
    <w:uiPriority w:val="99"/>
    <w:rPr>
      <w:sz w:val="20"/>
    </w:rPr>
  </w:style>
  <w:style w:type="paragraph" w:styleId="808">
    <w:name w:val="TOC Heading"/>
    <w:uiPriority w:val="39"/>
    <w:unhideWhenUsed/>
  </w:style>
  <w:style w:type="paragraph" w:styleId="809" w:default="1">
    <w:name w:val="Normal"/>
    <w:next w:val="822"/>
    <w:qFormat/>
    <w:pPr>
      <w:jc w:val="both"/>
      <w:widowControl w:val="off"/>
    </w:pPr>
    <w:rPr>
      <w:rFonts w:eastAsia="楷体_GB2312"/>
      <w:sz w:val="26"/>
    </w:rPr>
  </w:style>
  <w:style w:type="paragraph" w:styleId="810">
    <w:name w:val="Heading 1"/>
    <w:basedOn w:val="809"/>
    <w:next w:val="809"/>
    <w:link w:val="860"/>
    <w:qFormat/>
    <w:pPr>
      <w:jc w:val="center"/>
      <w:keepLines/>
      <w:keepNext/>
      <w:spacing w:line="360" w:lineRule="auto"/>
      <w:outlineLvl w:val="0"/>
    </w:pPr>
    <w:rPr>
      <w:rFonts w:eastAsia="宋体"/>
      <w:b/>
      <w:sz w:val="32"/>
    </w:rPr>
  </w:style>
  <w:style w:type="paragraph" w:styleId="811">
    <w:name w:val="Heading 2"/>
    <w:basedOn w:val="809"/>
    <w:next w:val="809"/>
    <w:link w:val="861"/>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62"/>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63"/>
    <w:uiPriority w:val="9"/>
    <w:unhideWhenUsed/>
    <w:qFormat/>
    <w:pPr>
      <w:keepLines/>
      <w:keepNext/>
      <w:spacing w:before="320" w:after="200"/>
      <w:outlineLvl w:val="3"/>
    </w:pPr>
    <w:rPr>
      <w:rFonts w:ascii="Arial" w:hAnsi="Arial" w:eastAsia="Arial" w:cs="Arial"/>
      <w:b/>
      <w:bCs/>
      <w:szCs w:val="26"/>
    </w:rPr>
  </w:style>
  <w:style w:type="paragraph" w:styleId="814">
    <w:name w:val="Heading 5"/>
    <w:basedOn w:val="809"/>
    <w:next w:val="809"/>
    <w:link w:val="864"/>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65"/>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7"/>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8"/>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style>
  <w:style w:type="table" w:styleId="820" w:default="1">
    <w:name w:val="Normal Table"/>
    <w:uiPriority w:val="99"/>
    <w:semiHidden/>
    <w:unhideWhenUsed/>
    <w:tblPr>
      <w:tblInd w:w="0" w:type="dxa"/>
      <w:tblCellMar>
        <w:left w:w="108" w:type="dxa"/>
        <w:top w:w="0" w:type="dxa"/>
        <w:right w:w="108" w:type="dxa"/>
        <w:bottom w:w="0" w:type="dxa"/>
      </w:tblCellMar>
    </w:tblPr>
  </w:style>
  <w:style w:type="numbering" w:styleId="821" w:default="1">
    <w:name w:val="No List"/>
    <w:uiPriority w:val="99"/>
    <w:semiHidden/>
    <w:unhideWhenUsed/>
  </w:style>
  <w:style w:type="paragraph" w:styleId="822">
    <w:name w:val="HTML Preformatted"/>
    <w:basedOn w:val="809"/>
    <w:unhideWhenUsed/>
    <w:qFormat/>
    <w:rPr>
      <w:rFonts w:ascii="Courier New" w:hAnsi="Courier New" w:cs="Courier New"/>
      <w:sz w:val="20"/>
    </w:rPr>
  </w:style>
  <w:style w:type="paragraph" w:styleId="823">
    <w:name w:val="toc 7"/>
    <w:basedOn w:val="809"/>
    <w:next w:val="809"/>
    <w:uiPriority w:val="39"/>
    <w:unhideWhenUsed/>
    <w:qFormat/>
    <w:pPr>
      <w:ind w:left="1701"/>
      <w:spacing w:after="57"/>
    </w:pPr>
  </w:style>
  <w:style w:type="paragraph" w:styleId="824">
    <w:name w:val="Normal Indent"/>
    <w:basedOn w:val="809"/>
    <w:next w:val="809"/>
    <w:qFormat/>
    <w:pPr>
      <w:ind w:firstLine="200"/>
    </w:pPr>
  </w:style>
  <w:style w:type="paragraph" w:styleId="825">
    <w:name w:val="Caption"/>
    <w:basedOn w:val="809"/>
    <w:next w:val="809"/>
    <w:uiPriority w:val="35"/>
    <w:semiHidden/>
    <w:unhideWhenUsed/>
    <w:qFormat/>
    <w:pPr>
      <w:spacing w:line="276" w:lineRule="auto"/>
    </w:pPr>
    <w:rPr>
      <w:b/>
      <w:bCs/>
      <w:color w:val="4f81bd"/>
      <w:sz w:val="18"/>
      <w:szCs w:val="18"/>
    </w:rPr>
  </w:style>
  <w:style w:type="paragraph" w:styleId="826">
    <w:name w:val="annotation text"/>
    <w:basedOn w:val="809"/>
    <w:link w:val="1042"/>
    <w:uiPriority w:val="99"/>
    <w:semiHidden/>
    <w:unhideWhenUsed/>
    <w:pPr>
      <w:jc w:val="left"/>
    </w:pPr>
  </w:style>
  <w:style w:type="paragraph" w:styleId="827">
    <w:name w:val="Body Text"/>
    <w:basedOn w:val="809"/>
    <w:next w:val="809"/>
    <w:qFormat/>
    <w:rPr>
      <w:rFonts w:ascii="楷体_GB2312" w:hAnsi="Arial"/>
      <w:sz w:val="28"/>
    </w:rPr>
  </w:style>
  <w:style w:type="paragraph" w:styleId="828">
    <w:name w:val="Body Text Indent"/>
    <w:basedOn w:val="809"/>
    <w:qFormat/>
    <w:pPr>
      <w:ind w:firstLine="645"/>
    </w:pPr>
    <w:rPr>
      <w:rFonts w:ascii="楷体_GB2312" w:hAnsi="Calibri"/>
      <w:sz w:val="32"/>
      <w:szCs w:val="22"/>
    </w:rPr>
  </w:style>
  <w:style w:type="paragraph" w:styleId="829">
    <w:name w:val="Block Text"/>
    <w:basedOn w:val="809"/>
    <w:qFormat/>
    <w:pPr>
      <w:ind w:left="525" w:right="-1" w:firstLine="525"/>
      <w:spacing w:line="312" w:lineRule="atLeast"/>
    </w:pPr>
    <w:rPr>
      <w:sz w:val="28"/>
      <w:szCs w:val="28"/>
    </w:rPr>
  </w:style>
  <w:style w:type="paragraph" w:styleId="830">
    <w:name w:val="toc 5"/>
    <w:basedOn w:val="809"/>
    <w:next w:val="809"/>
    <w:uiPriority w:val="39"/>
    <w:unhideWhenUsed/>
    <w:qFormat/>
    <w:pPr>
      <w:ind w:left="1134"/>
      <w:spacing w:after="57"/>
    </w:pPr>
  </w:style>
  <w:style w:type="paragraph" w:styleId="831">
    <w:name w:val="toc 3"/>
    <w:basedOn w:val="809"/>
    <w:next w:val="809"/>
    <w:uiPriority w:val="39"/>
    <w:unhideWhenUsed/>
    <w:qFormat/>
    <w:pPr>
      <w:ind w:left="567"/>
      <w:spacing w:after="57"/>
    </w:pPr>
  </w:style>
  <w:style w:type="paragraph" w:styleId="832">
    <w:name w:val="Plain Text"/>
    <w:basedOn w:val="809"/>
    <w:next w:val="824"/>
    <w:qFormat/>
    <w:rPr>
      <w:rFonts w:ascii="宋体"/>
    </w:rPr>
  </w:style>
  <w:style w:type="paragraph" w:styleId="833">
    <w:name w:val="toc 8"/>
    <w:basedOn w:val="809"/>
    <w:next w:val="809"/>
    <w:uiPriority w:val="39"/>
    <w:unhideWhenUsed/>
    <w:qFormat/>
    <w:pPr>
      <w:ind w:left="1984"/>
      <w:spacing w:after="57"/>
    </w:pPr>
  </w:style>
  <w:style w:type="paragraph" w:styleId="834">
    <w:name w:val="endnote text"/>
    <w:basedOn w:val="809"/>
    <w:link w:val="1006"/>
    <w:uiPriority w:val="99"/>
    <w:semiHidden/>
    <w:unhideWhenUsed/>
    <w:qFormat/>
    <w:rPr>
      <w:sz w:val="20"/>
    </w:rPr>
  </w:style>
  <w:style w:type="paragraph" w:styleId="835">
    <w:name w:val="Balloon Text"/>
    <w:basedOn w:val="809"/>
    <w:link w:val="1038"/>
    <w:uiPriority w:val="99"/>
    <w:semiHidden/>
    <w:unhideWhenUsed/>
    <w:qFormat/>
    <w:rPr>
      <w:sz w:val="18"/>
      <w:szCs w:val="18"/>
    </w:rPr>
  </w:style>
  <w:style w:type="paragraph" w:styleId="836">
    <w:name w:val="Footer"/>
    <w:basedOn w:val="809"/>
    <w:link w:val="879"/>
    <w:uiPriority w:val="99"/>
    <w:unhideWhenUsed/>
    <w:qFormat/>
    <w:pPr>
      <w:tabs>
        <w:tab w:val="center" w:pos="7143" w:leader="none"/>
        <w:tab w:val="right" w:pos="14287" w:leader="none"/>
      </w:tabs>
    </w:pPr>
  </w:style>
  <w:style w:type="paragraph" w:styleId="837">
    <w:name w:val="envelope return"/>
    <w:basedOn w:val="838"/>
    <w:uiPriority w:val="99"/>
    <w:unhideWhenUsed/>
    <w:qFormat/>
    <w:rPr>
      <w:rFonts w:ascii="Arial" w:hAnsi="Arial"/>
    </w:rPr>
  </w:style>
  <w:style w:type="paragraph" w:styleId="838" w:customStyle="1">
    <w:name w:val="Normal_19"/>
    <w:next w:val="839"/>
    <w:qFormat/>
    <w:pPr>
      <w:jc w:val="both"/>
      <w:widowControl w:val="off"/>
    </w:pPr>
    <w:rPr>
      <w:sz w:val="21"/>
      <w:szCs w:val="24"/>
    </w:rPr>
  </w:style>
  <w:style w:type="paragraph" w:styleId="839" w:customStyle="1">
    <w:name w:val="正文文本缩进1"/>
    <w:basedOn w:val="809"/>
    <w:next w:val="837"/>
    <w:unhideWhenUsed/>
    <w:qFormat/>
    <w:pPr>
      <w:ind w:firstLine="570"/>
    </w:pPr>
    <w:rPr>
      <w:rFonts w:ascii="宋体" w:eastAsia="宋体"/>
      <w:sz w:val="28"/>
    </w:rPr>
  </w:style>
  <w:style w:type="paragraph" w:styleId="840">
    <w:name w:val="Header"/>
    <w:basedOn w:val="809"/>
    <w:link w:val="1008"/>
    <w:qFormat/>
    <w:pPr>
      <w:jc w:val="center"/>
      <w:tabs>
        <w:tab w:val="center" w:pos="4153" w:leader="none"/>
        <w:tab w:val="right" w:pos="8306" w:leader="none"/>
      </w:tabs>
    </w:pPr>
    <w:rPr>
      <w:sz w:val="18"/>
      <w:szCs w:val="18"/>
    </w:rPr>
  </w:style>
  <w:style w:type="paragraph" w:styleId="841">
    <w:name w:val="toc 1"/>
    <w:basedOn w:val="809"/>
    <w:next w:val="809"/>
    <w:uiPriority w:val="39"/>
    <w:unhideWhenUsed/>
    <w:qFormat/>
    <w:pPr>
      <w:spacing w:after="57"/>
    </w:pPr>
  </w:style>
  <w:style w:type="paragraph" w:styleId="842">
    <w:name w:val="toc 4"/>
    <w:basedOn w:val="809"/>
    <w:next w:val="809"/>
    <w:uiPriority w:val="39"/>
    <w:unhideWhenUsed/>
    <w:qFormat/>
    <w:pPr>
      <w:ind w:left="850"/>
      <w:spacing w:after="57"/>
    </w:pPr>
  </w:style>
  <w:style w:type="paragraph" w:styleId="843">
    <w:name w:val="Subtitle"/>
    <w:basedOn w:val="809"/>
    <w:next w:val="809"/>
    <w:link w:val="872"/>
    <w:uiPriority w:val="11"/>
    <w:qFormat/>
    <w:pPr>
      <w:spacing w:before="200" w:after="200"/>
    </w:pPr>
    <w:rPr>
      <w:sz w:val="24"/>
      <w:szCs w:val="24"/>
    </w:rPr>
  </w:style>
  <w:style w:type="paragraph" w:styleId="844">
    <w:name w:val="footnote text"/>
    <w:basedOn w:val="809"/>
    <w:link w:val="1005"/>
    <w:uiPriority w:val="99"/>
    <w:semiHidden/>
    <w:unhideWhenUsed/>
    <w:qFormat/>
    <w:pPr>
      <w:spacing w:after="40"/>
    </w:pPr>
    <w:rPr>
      <w:sz w:val="18"/>
    </w:rPr>
  </w:style>
  <w:style w:type="paragraph" w:styleId="845">
    <w:name w:val="toc 6"/>
    <w:basedOn w:val="809"/>
    <w:next w:val="809"/>
    <w:uiPriority w:val="39"/>
    <w:unhideWhenUsed/>
    <w:qFormat/>
    <w:pPr>
      <w:ind w:left="1417"/>
      <w:spacing w:after="57"/>
    </w:pPr>
  </w:style>
  <w:style w:type="paragraph" w:styleId="846">
    <w:name w:val="table of figures"/>
    <w:basedOn w:val="809"/>
    <w:next w:val="809"/>
    <w:uiPriority w:val="99"/>
    <w:unhideWhenUsed/>
    <w:qFormat/>
  </w:style>
  <w:style w:type="paragraph" w:styleId="847">
    <w:name w:val="toc 2"/>
    <w:basedOn w:val="809"/>
    <w:next w:val="809"/>
    <w:uiPriority w:val="39"/>
    <w:unhideWhenUsed/>
    <w:qFormat/>
    <w:pPr>
      <w:ind w:left="283"/>
      <w:spacing w:after="57"/>
    </w:pPr>
  </w:style>
  <w:style w:type="paragraph" w:styleId="848">
    <w:name w:val="toc 9"/>
    <w:basedOn w:val="809"/>
    <w:next w:val="809"/>
    <w:uiPriority w:val="39"/>
    <w:unhideWhenUsed/>
    <w:qFormat/>
    <w:pPr>
      <w:ind w:left="2268"/>
      <w:spacing w:after="57"/>
    </w:pPr>
  </w:style>
  <w:style w:type="paragraph" w:styleId="849">
    <w:name w:val="Normal (Web)"/>
    <w:basedOn w:val="809"/>
    <w:uiPriority w:val="99"/>
    <w:qFormat/>
    <w:pPr>
      <w:jc w:val="left"/>
      <w:spacing w:before="100" w:beforeAutospacing="1" w:after="100" w:afterAutospacing="1"/>
      <w:widowControl/>
    </w:pPr>
    <w:rPr>
      <w:rFonts w:ascii="宋体" w:hAnsi="宋体"/>
      <w:color w:val="000000"/>
      <w:sz w:val="24"/>
      <w:szCs w:val="24"/>
    </w:rPr>
  </w:style>
  <w:style w:type="paragraph" w:styleId="850">
    <w:name w:val="Title"/>
    <w:basedOn w:val="809"/>
    <w:next w:val="809"/>
    <w:link w:val="871"/>
    <w:uiPriority w:val="10"/>
    <w:qFormat/>
    <w:pPr>
      <w:contextualSpacing/>
      <w:spacing w:before="300" w:after="200"/>
    </w:pPr>
    <w:rPr>
      <w:sz w:val="48"/>
      <w:szCs w:val="48"/>
    </w:rPr>
  </w:style>
  <w:style w:type="paragraph" w:styleId="851">
    <w:name w:val="Body Text First Indent"/>
    <w:basedOn w:val="827"/>
    <w:next w:val="852"/>
    <w:qFormat/>
    <w:pPr>
      <w:ind w:firstLine="420"/>
    </w:pPr>
  </w:style>
  <w:style w:type="paragraph" w:styleId="852">
    <w:name w:val="Body Text First Indent 2"/>
    <w:basedOn w:val="828"/>
    <w:uiPriority w:val="99"/>
    <w:unhideWhenUsed/>
    <w:qFormat/>
    <w:pPr>
      <w:ind w:firstLine="200"/>
    </w:pPr>
  </w:style>
  <w:style w:type="table" w:styleId="853">
    <w:name w:val="Table Grid"/>
    <w:basedOn w:val="82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endnote reference"/>
    <w:uiPriority w:val="99"/>
    <w:semiHidden/>
    <w:unhideWhenUsed/>
    <w:qFormat/>
    <w:rPr>
      <w:vertAlign w:val="superscript"/>
    </w:rPr>
  </w:style>
  <w:style w:type="character" w:styleId="855">
    <w:name w:val="Emphasis"/>
    <w:qFormat/>
    <w:rPr>
      <w:rFonts w:ascii="Times New Roman" w:hAnsi="Times New Roman" w:eastAsia="宋体" w:cs="Times New Roman"/>
      <w:i/>
    </w:rPr>
  </w:style>
  <w:style w:type="character" w:styleId="856">
    <w:name w:val="Hyperlink"/>
    <w:uiPriority w:val="99"/>
    <w:unhideWhenUsed/>
    <w:qFormat/>
    <w:rPr>
      <w:color w:val="0563c1"/>
      <w:u w:val="single"/>
    </w:rPr>
  </w:style>
  <w:style w:type="character" w:styleId="857">
    <w:name w:val="annotation reference"/>
    <w:basedOn w:val="819"/>
    <w:uiPriority w:val="99"/>
    <w:semiHidden/>
    <w:unhideWhenUsed/>
    <w:qFormat/>
    <w:rPr>
      <w:sz w:val="21"/>
      <w:szCs w:val="21"/>
    </w:rPr>
  </w:style>
  <w:style w:type="character" w:styleId="858">
    <w:name w:val="footnote reference"/>
    <w:uiPriority w:val="99"/>
    <w:unhideWhenUsed/>
    <w:qFormat/>
    <w:rPr>
      <w:vertAlign w:val="superscript"/>
    </w:rPr>
  </w:style>
  <w:style w:type="paragraph" w:styleId="859" w:customStyle="1">
    <w:name w:val="标题 31"/>
    <w:basedOn w:val="809"/>
    <w:next w:val="809"/>
    <w:qFormat/>
    <w:pPr>
      <w:keepLines/>
      <w:keepNext/>
      <w:spacing w:before="260" w:after="260" w:line="416" w:lineRule="auto"/>
      <w:outlineLvl w:val="2"/>
    </w:pPr>
    <w:rPr>
      <w:b/>
      <w:bCs/>
      <w:sz w:val="32"/>
      <w:szCs w:val="32"/>
    </w:rPr>
  </w:style>
  <w:style w:type="character" w:styleId="860" w:customStyle="1">
    <w:name w:val="标题 1 字符"/>
    <w:link w:val="810"/>
    <w:qFormat/>
    <w:rPr>
      <w:rFonts w:ascii="Arial" w:hAnsi="Arial" w:eastAsia="Arial" w:cs="Arial"/>
      <w:sz w:val="40"/>
      <w:szCs w:val="40"/>
    </w:rPr>
  </w:style>
  <w:style w:type="character" w:styleId="861" w:customStyle="1">
    <w:name w:val="标题 2 字符"/>
    <w:link w:val="811"/>
    <w:uiPriority w:val="9"/>
    <w:qFormat/>
    <w:rPr>
      <w:rFonts w:ascii="Arial" w:hAnsi="Arial" w:eastAsia="Arial" w:cs="Arial"/>
      <w:sz w:val="34"/>
    </w:rPr>
  </w:style>
  <w:style w:type="character" w:styleId="862" w:customStyle="1">
    <w:name w:val="标题 3 字符"/>
    <w:link w:val="812"/>
    <w:uiPriority w:val="9"/>
    <w:qFormat/>
    <w:rPr>
      <w:rFonts w:ascii="Arial" w:hAnsi="Arial" w:eastAsia="Arial" w:cs="Arial"/>
      <w:sz w:val="30"/>
      <w:szCs w:val="30"/>
    </w:rPr>
  </w:style>
  <w:style w:type="character" w:styleId="863" w:customStyle="1">
    <w:name w:val="标题 4 字符"/>
    <w:link w:val="813"/>
    <w:uiPriority w:val="9"/>
    <w:qFormat/>
    <w:rPr>
      <w:rFonts w:ascii="Arial" w:hAnsi="Arial" w:eastAsia="Arial" w:cs="Arial"/>
      <w:b/>
      <w:bCs/>
      <w:sz w:val="26"/>
      <w:szCs w:val="26"/>
    </w:rPr>
  </w:style>
  <w:style w:type="character" w:styleId="864" w:customStyle="1">
    <w:name w:val="标题 5 字符"/>
    <w:link w:val="814"/>
    <w:uiPriority w:val="9"/>
    <w:qFormat/>
    <w:rPr>
      <w:rFonts w:ascii="Arial" w:hAnsi="Arial" w:eastAsia="Arial" w:cs="Arial"/>
      <w:b/>
      <w:bCs/>
      <w:sz w:val="24"/>
      <w:szCs w:val="24"/>
    </w:rPr>
  </w:style>
  <w:style w:type="character" w:styleId="865" w:customStyle="1">
    <w:name w:val="标题 6 字符"/>
    <w:link w:val="815"/>
    <w:uiPriority w:val="9"/>
    <w:qFormat/>
    <w:rPr>
      <w:rFonts w:ascii="Arial" w:hAnsi="Arial" w:eastAsia="Arial" w:cs="Arial"/>
      <w:b/>
      <w:bCs/>
      <w:sz w:val="22"/>
      <w:szCs w:val="22"/>
    </w:rPr>
  </w:style>
  <w:style w:type="character" w:styleId="866" w:customStyle="1">
    <w:name w:val="标题 7 字符"/>
    <w:link w:val="816"/>
    <w:uiPriority w:val="9"/>
    <w:qFormat/>
    <w:rPr>
      <w:rFonts w:ascii="Arial" w:hAnsi="Arial" w:eastAsia="Arial" w:cs="Arial"/>
      <w:b/>
      <w:bCs/>
      <w:i/>
      <w:iCs/>
      <w:sz w:val="22"/>
      <w:szCs w:val="22"/>
    </w:rPr>
  </w:style>
  <w:style w:type="character" w:styleId="867" w:customStyle="1">
    <w:name w:val="标题 8 字符"/>
    <w:link w:val="817"/>
    <w:uiPriority w:val="9"/>
    <w:qFormat/>
    <w:rPr>
      <w:rFonts w:ascii="Arial" w:hAnsi="Arial" w:eastAsia="Arial" w:cs="Arial"/>
      <w:i/>
      <w:iCs/>
      <w:sz w:val="22"/>
      <w:szCs w:val="22"/>
    </w:rPr>
  </w:style>
  <w:style w:type="character" w:styleId="868" w:customStyle="1">
    <w:name w:val="标题 9 字符"/>
    <w:link w:val="818"/>
    <w:uiPriority w:val="9"/>
    <w:qFormat/>
    <w:rPr>
      <w:rFonts w:ascii="Arial" w:hAnsi="Arial" w:eastAsia="Arial" w:cs="Arial"/>
      <w:i/>
      <w:iCs/>
      <w:sz w:val="21"/>
      <w:szCs w:val="21"/>
    </w:rPr>
  </w:style>
  <w:style w:type="paragraph" w:styleId="869">
    <w:name w:val="List Paragraph"/>
    <w:basedOn w:val="809"/>
    <w:qFormat/>
    <w:pPr>
      <w:ind w:firstLine="420"/>
    </w:pPr>
  </w:style>
  <w:style w:type="paragraph" w:styleId="870">
    <w:name w:val="No Spacing"/>
    <w:uiPriority w:val="1"/>
    <w:qFormat/>
  </w:style>
  <w:style w:type="character" w:styleId="871" w:customStyle="1">
    <w:name w:val="标题 字符"/>
    <w:link w:val="850"/>
    <w:uiPriority w:val="10"/>
    <w:qFormat/>
    <w:rPr>
      <w:sz w:val="48"/>
      <w:szCs w:val="48"/>
    </w:rPr>
  </w:style>
  <w:style w:type="character" w:styleId="872" w:customStyle="1">
    <w:name w:val="副标题 字符"/>
    <w:link w:val="843"/>
    <w:uiPriority w:val="11"/>
    <w:qFormat/>
    <w:rPr>
      <w:sz w:val="24"/>
      <w:szCs w:val="24"/>
    </w:rPr>
  </w:style>
  <w:style w:type="paragraph" w:styleId="873">
    <w:name w:val="Quote"/>
    <w:basedOn w:val="809"/>
    <w:next w:val="809"/>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809"/>
    <w:next w:val="809"/>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uiPriority w:val="99"/>
    <w:qFormat/>
  </w:style>
  <w:style w:type="character" w:styleId="878" w:customStyle="1">
    <w:name w:val="Footer Char"/>
    <w:uiPriority w:val="99"/>
    <w:qFormat/>
  </w:style>
  <w:style w:type="character" w:styleId="879" w:customStyle="1">
    <w:name w:val="页脚 字符"/>
    <w:link w:val="836"/>
    <w:uiPriority w:val="99"/>
    <w:qFormat/>
  </w:style>
  <w:style w:type="table" w:styleId="88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3" w:customStyle="1">
    <w:name w:val="无格式表格 31"/>
    <w:uiPriority w:val="99"/>
    <w:qFormat/>
    <w:tblPr>
      <w:tblCellMar>
        <w:left w:w="0" w:type="dxa"/>
        <w:top w:w="0" w:type="dxa"/>
        <w:right w:w="0" w:type="dxa"/>
        <w:bottom w:w="0" w:type="dxa"/>
      </w:tblCellMar>
    </w:tblPr>
  </w:style>
  <w:style w:type="table" w:styleId="884" w:customStyle="1">
    <w:name w:val="无格式表格 41"/>
    <w:uiPriority w:val="99"/>
    <w:qFormat/>
    <w:tblPr>
      <w:tblCellMar>
        <w:left w:w="0" w:type="dxa"/>
        <w:top w:w="0" w:type="dxa"/>
        <w:right w:w="0" w:type="dxa"/>
        <w:bottom w:w="0" w:type="dxa"/>
      </w:tblCellMar>
    </w:tblPr>
  </w:style>
  <w:style w:type="table" w:styleId="885" w:customStyle="1">
    <w:name w:val="无格式表格 51"/>
    <w:uiPriority w:val="99"/>
    <w:qFormat/>
    <w:tblPr>
      <w:tblCellMar>
        <w:left w:w="0" w:type="dxa"/>
        <w:top w:w="0" w:type="dxa"/>
        <w:right w:w="0" w:type="dxa"/>
        <w:bottom w:w="0" w:type="dxa"/>
      </w:tblCellMar>
    </w:tblPr>
  </w:style>
  <w:style w:type="table" w:styleId="88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5" w:customStyle="1">
    <w:name w:val="清单表 1 浅色1"/>
    <w:uiPriority w:val="99"/>
    <w:qFormat/>
    <w:tblPr>
      <w:tblCellMar>
        <w:left w:w="0" w:type="dxa"/>
        <w:top w:w="0" w:type="dxa"/>
        <w:right w:w="0" w:type="dxa"/>
        <w:bottom w:w="0" w:type="dxa"/>
      </w:tblCellMar>
    </w:tblPr>
  </w:style>
  <w:style w:type="table" w:styleId="936" w:customStyle="1">
    <w:name w:val="List Table 1 Light - Accent 1"/>
    <w:uiPriority w:val="99"/>
    <w:qFormat/>
    <w:tblPr>
      <w:tblCellMar>
        <w:left w:w="0" w:type="dxa"/>
        <w:top w:w="0" w:type="dxa"/>
        <w:right w:w="0" w:type="dxa"/>
        <w:bottom w:w="0" w:type="dxa"/>
      </w:tblCellMar>
    </w:tblPr>
  </w:style>
  <w:style w:type="table" w:styleId="937" w:customStyle="1">
    <w:name w:val="List Table 1 Light - Accent 2"/>
    <w:uiPriority w:val="99"/>
    <w:qFormat/>
    <w:tblPr>
      <w:tblCellMar>
        <w:left w:w="0" w:type="dxa"/>
        <w:top w:w="0" w:type="dxa"/>
        <w:right w:w="0" w:type="dxa"/>
        <w:bottom w:w="0" w:type="dxa"/>
      </w:tblCellMar>
    </w:tblPr>
  </w:style>
  <w:style w:type="table" w:styleId="938" w:customStyle="1">
    <w:name w:val="List Table 1 Light - Accent 3"/>
    <w:uiPriority w:val="99"/>
    <w:qFormat/>
    <w:tblPr>
      <w:tblCellMar>
        <w:left w:w="0" w:type="dxa"/>
        <w:top w:w="0" w:type="dxa"/>
        <w:right w:w="0" w:type="dxa"/>
        <w:bottom w:w="0" w:type="dxa"/>
      </w:tblCellMar>
    </w:tblPr>
  </w:style>
  <w:style w:type="table" w:styleId="939" w:customStyle="1">
    <w:name w:val="List Table 1 Light - Accent 4"/>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List Table 1 Light - Accent 6"/>
    <w:uiPriority w:val="99"/>
    <w:qFormat/>
    <w:tblPr>
      <w:tblCellMar>
        <w:left w:w="0" w:type="dxa"/>
        <w:top w:w="0" w:type="dxa"/>
        <w:right w:w="0" w:type="dxa"/>
        <w:bottom w:w="0" w:type="dxa"/>
      </w:tblCellMar>
    </w:tblPr>
  </w:style>
  <w:style w:type="table" w:styleId="94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4" w:customStyle="1">
    <w:name w:val="Lined - Accent"/>
    <w:uiPriority w:val="99"/>
    <w:qFormat/>
    <w:rPr>
      <w:color w:val="404040"/>
    </w:rPr>
    <w:tblPr>
      <w:tblCellMar>
        <w:left w:w="0" w:type="dxa"/>
        <w:top w:w="0" w:type="dxa"/>
        <w:right w:w="0" w:type="dxa"/>
        <w:bottom w:w="0" w:type="dxa"/>
      </w:tblCellMar>
    </w:tblPr>
  </w:style>
  <w:style w:type="table" w:styleId="985" w:customStyle="1">
    <w:name w:val="Lined - Accent 1"/>
    <w:uiPriority w:val="99"/>
    <w:qFormat/>
    <w:rPr>
      <w:color w:val="404040"/>
    </w:rPr>
    <w:tblPr>
      <w:tblCellMar>
        <w:left w:w="0" w:type="dxa"/>
        <w:top w:w="0" w:type="dxa"/>
        <w:right w:w="0" w:type="dxa"/>
        <w:bottom w:w="0" w:type="dxa"/>
      </w:tblCellMar>
    </w:tblPr>
  </w:style>
  <w:style w:type="table" w:styleId="986" w:customStyle="1">
    <w:name w:val="Lined - Accent 2"/>
    <w:uiPriority w:val="99"/>
    <w:qFormat/>
    <w:rPr>
      <w:color w:val="404040"/>
    </w:rPr>
    <w:tblPr>
      <w:tblCellMar>
        <w:left w:w="0" w:type="dxa"/>
        <w:top w:w="0" w:type="dxa"/>
        <w:right w:w="0" w:type="dxa"/>
        <w:bottom w:w="0" w:type="dxa"/>
      </w:tblCellMar>
    </w:tblPr>
  </w:style>
  <w:style w:type="table" w:styleId="987" w:customStyle="1">
    <w:name w:val="Lined - Accent 3"/>
    <w:uiPriority w:val="99"/>
    <w:qFormat/>
    <w:rPr>
      <w:color w:val="404040"/>
    </w:rPr>
    <w:tblPr>
      <w:tblCellMar>
        <w:left w:w="0" w:type="dxa"/>
        <w:top w:w="0" w:type="dxa"/>
        <w:right w:w="0" w:type="dxa"/>
        <w:bottom w:w="0" w:type="dxa"/>
      </w:tblCellMar>
    </w:tblPr>
  </w:style>
  <w:style w:type="table" w:styleId="988" w:customStyle="1">
    <w:name w:val="Lined - Accent 4"/>
    <w:uiPriority w:val="99"/>
    <w:qFormat/>
    <w:rPr>
      <w:color w:val="404040"/>
    </w:rPr>
    <w:tblPr>
      <w:tblCellMar>
        <w:left w:w="0" w:type="dxa"/>
        <w:top w:w="0" w:type="dxa"/>
        <w:right w:w="0" w:type="dxa"/>
        <w:bottom w:w="0" w:type="dxa"/>
      </w:tblCellMar>
    </w:tblPr>
  </w:style>
  <w:style w:type="table" w:styleId="989" w:customStyle="1">
    <w:name w:val="Lined - Accent 5"/>
    <w:uiPriority w:val="99"/>
    <w:qFormat/>
    <w:rPr>
      <w:color w:val="404040"/>
    </w:rPr>
    <w:tblPr>
      <w:tblCellMar>
        <w:left w:w="0" w:type="dxa"/>
        <w:top w:w="0" w:type="dxa"/>
        <w:right w:w="0" w:type="dxa"/>
        <w:bottom w:w="0" w:type="dxa"/>
      </w:tblCellMar>
    </w:tblPr>
  </w:style>
  <w:style w:type="table" w:styleId="990" w:customStyle="1">
    <w:name w:val="Lined - Accent 6"/>
    <w:uiPriority w:val="99"/>
    <w:qFormat/>
    <w:rPr>
      <w:color w:val="404040"/>
    </w:rPr>
    <w:tblPr>
      <w:tblCellMar>
        <w:left w:w="0" w:type="dxa"/>
        <w:top w:w="0" w:type="dxa"/>
        <w:right w:w="0" w:type="dxa"/>
        <w:bottom w:w="0" w:type="dxa"/>
      </w:tblCellMar>
    </w:tblPr>
  </w:style>
  <w:style w:type="table" w:styleId="9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5" w:customStyle="1">
    <w:name w:val="脚注文本 字符"/>
    <w:link w:val="844"/>
    <w:uiPriority w:val="99"/>
    <w:qFormat/>
    <w:rPr>
      <w:sz w:val="18"/>
    </w:rPr>
  </w:style>
  <w:style w:type="character" w:styleId="1006" w:customStyle="1">
    <w:name w:val="尾注文本 字符"/>
    <w:link w:val="834"/>
    <w:uiPriority w:val="99"/>
    <w:qFormat/>
    <w:rPr>
      <w:sz w:val="20"/>
    </w:rPr>
  </w:style>
  <w:style w:type="paragraph" w:styleId="1007" w:customStyle="1">
    <w:name w:val="TOC 标题1"/>
    <w:uiPriority w:val="39"/>
    <w:unhideWhenUsed/>
    <w:qFormat/>
  </w:style>
  <w:style w:type="character" w:styleId="1008" w:customStyle="1">
    <w:name w:val="页眉 字符"/>
    <w:link w:val="840"/>
    <w:qFormat/>
    <w:rPr>
      <w:rFonts w:ascii="Times New Roman" w:hAnsi="Times New Roman" w:eastAsia="楷体_GB2312"/>
      <w:sz w:val="18"/>
      <w:szCs w:val="18"/>
    </w:rPr>
  </w:style>
  <w:style w:type="paragraph" w:styleId="1009" w:customStyle="1">
    <w:name w:val="索引 41"/>
    <w:basedOn w:val="809"/>
    <w:next w:val="809"/>
    <w:qFormat/>
    <w:pPr>
      <w:ind w:left="600"/>
    </w:pPr>
    <w:rPr>
      <w:szCs w:val="21"/>
    </w:rPr>
  </w:style>
  <w:style w:type="paragraph" w:styleId="1010" w:customStyle="1">
    <w:name w:val="正文首行缩进 21"/>
    <w:basedOn w:val="839"/>
    <w:uiPriority w:val="99"/>
    <w:unhideWhenUsed/>
    <w:qFormat/>
    <w:pPr>
      <w:ind w:firstLine="420"/>
    </w:pPr>
  </w:style>
  <w:style w:type="paragraph" w:styleId="1011" w:customStyle="1">
    <w:name w:val="目录 11"/>
    <w:basedOn w:val="809"/>
    <w:next w:val="809"/>
    <w:unhideWhenUsed/>
    <w:qFormat/>
    <w:pPr>
      <w:jc w:val="left"/>
    </w:pPr>
    <w:rPr>
      <w:sz w:val="24"/>
    </w:rPr>
  </w:style>
  <w:style w:type="paragraph" w:styleId="1012" w:customStyle="1">
    <w:name w:val="标题 21"/>
    <w:basedOn w:val="809"/>
    <w:next w:val="809"/>
    <w:qFormat/>
    <w:pPr>
      <w:keepLines/>
      <w:keepNext/>
      <w:spacing w:before="260" w:after="260" w:line="416" w:lineRule="auto"/>
      <w:outlineLvl w:val="1"/>
    </w:pPr>
    <w:rPr>
      <w:rFonts w:ascii="Cambria" w:hAnsi="Cambria" w:eastAsia="宋体"/>
      <w:b/>
      <w:bCs/>
      <w:sz w:val="32"/>
      <w:szCs w:val="32"/>
    </w:rPr>
  </w:style>
  <w:style w:type="paragraph" w:styleId="1013" w:customStyle="1">
    <w:name w:val="Default"/>
    <w:qFormat/>
    <w:pPr>
      <w:widowControl w:val="off"/>
    </w:pPr>
    <w:rPr>
      <w:rFonts w:ascii="仿宋" w:eastAsia="仿宋" w:cs="仿宋"/>
      <w:color w:val="000000"/>
      <w:sz w:val="24"/>
      <w:szCs w:val="24"/>
    </w:rPr>
  </w:style>
  <w:style w:type="paragraph" w:styleId="1014" w:customStyle="1">
    <w:name w:val="纯文本1111"/>
    <w:basedOn w:val="809"/>
    <w:next w:val="1015"/>
    <w:unhideWhenUsed/>
    <w:qFormat/>
    <w:rPr>
      <w:rFonts w:ascii="宋体" w:hAnsi="Courier New"/>
    </w:rPr>
  </w:style>
  <w:style w:type="paragraph" w:styleId="1015" w:customStyle="1">
    <w:name w:val="正文缩进1"/>
    <w:basedOn w:val="809"/>
    <w:unhideWhenUsed/>
    <w:qFormat/>
    <w:pPr>
      <w:ind w:firstLine="420"/>
      <w:jc w:val="left"/>
    </w:pPr>
    <w:rPr>
      <w:sz w:val="24"/>
    </w:rPr>
  </w:style>
  <w:style w:type="paragraph" w:styleId="1016" w:customStyle="1">
    <w:name w:val="首行缩进"/>
    <w:basedOn w:val="809"/>
    <w:qFormat/>
    <w:pPr>
      <w:ind w:firstLine="480"/>
      <w:spacing w:line="360" w:lineRule="auto"/>
    </w:pPr>
    <w:rPr>
      <w:rFonts w:hAnsi="宋体" w:eastAsia="宋体" w:cs="宋体"/>
      <w:sz w:val="24"/>
      <w:szCs w:val="24"/>
    </w:rPr>
  </w:style>
  <w:style w:type="paragraph" w:styleId="1017" w:customStyle="1">
    <w:name w:val="Char"/>
    <w:basedOn w:val="809"/>
    <w:qFormat/>
  </w:style>
  <w:style w:type="paragraph" w:styleId="1018" w:customStyle="1">
    <w:name w:val="标题 11"/>
    <w:basedOn w:val="809"/>
    <w:next w:val="809"/>
    <w:qFormat/>
    <w:pPr>
      <w:keepLines/>
      <w:keepNext/>
      <w:spacing w:before="340" w:after="330" w:line="578" w:lineRule="auto"/>
      <w:outlineLvl w:val="0"/>
    </w:pPr>
    <w:rPr>
      <w:b/>
      <w:sz w:val="44"/>
    </w:rPr>
  </w:style>
  <w:style w:type="paragraph" w:styleId="1019" w:customStyle="1">
    <w:name w:val="纯文本1"/>
    <w:basedOn w:val="809"/>
    <w:qFormat/>
    <w:rPr>
      <w:rFonts w:ascii="宋体" w:hAnsi="Courier New"/>
    </w:rPr>
  </w:style>
  <w:style w:type="paragraph" w:styleId="1020" w:customStyle="1">
    <w:name w:val="正文2"/>
    <w:basedOn w:val="809"/>
    <w:qFormat/>
    <w:pPr>
      <w:ind w:firstLine="510"/>
      <w:spacing w:before="156" w:line="360" w:lineRule="auto"/>
    </w:pPr>
    <w:rPr>
      <w:sz w:val="24"/>
    </w:rPr>
  </w:style>
  <w:style w:type="character" w:styleId="1021" w:customStyle="1">
    <w:name w:val="要点1"/>
    <w:qFormat/>
    <w:rPr>
      <w:b/>
      <w:bCs/>
    </w:rPr>
  </w:style>
  <w:style w:type="paragraph" w:styleId="1022" w:customStyle="1">
    <w:name w:val="普通(网站)1"/>
    <w:basedOn w:val="809"/>
    <w:unhideWhenUsed/>
    <w:qFormat/>
    <w:pPr>
      <w:jc w:val="left"/>
      <w:spacing w:before="100" w:beforeAutospacing="1" w:after="100" w:afterAutospacing="1"/>
      <w:widowControl/>
    </w:pPr>
    <w:rPr>
      <w:rFonts w:ascii="宋体" w:hAnsi="宋体" w:cs="宋体"/>
      <w:sz w:val="24"/>
    </w:rPr>
  </w:style>
  <w:style w:type="paragraph" w:styleId="1023" w:customStyle="1">
    <w:name w:val="正文文本缩进 21"/>
    <w:basedOn w:val="809"/>
    <w:unhideWhenUsed/>
    <w:qFormat/>
    <w:pPr>
      <w:ind w:left="420"/>
      <w:spacing w:after="120" w:line="480" w:lineRule="auto"/>
    </w:pPr>
  </w:style>
  <w:style w:type="paragraph" w:styleId="1024" w:customStyle="1">
    <w:name w:val="纯文本11"/>
    <w:basedOn w:val="809"/>
    <w:uiPriority w:val="99"/>
    <w:qFormat/>
    <w:rPr>
      <w:rFonts w:ascii="宋体" w:hAnsi="Courier New"/>
    </w:rPr>
  </w:style>
  <w:style w:type="paragraph" w:styleId="1025" w:customStyle="1">
    <w:name w:val="索引 11"/>
    <w:basedOn w:val="809"/>
    <w:next w:val="809"/>
    <w:unhideWhenUsed/>
    <w:qFormat/>
    <w:pPr>
      <w:jc w:val="center"/>
      <w:spacing w:line="220" w:lineRule="exact"/>
    </w:pPr>
    <w:rPr>
      <w:rFonts w:ascii="仿宋_GB2312" w:eastAsia="仿宋_GB2312"/>
      <w:szCs w:val="21"/>
    </w:rPr>
  </w:style>
  <w:style w:type="paragraph" w:styleId="1026" w:customStyle="1">
    <w:name w:val="正文文本1"/>
    <w:basedOn w:val="809"/>
    <w:unhideWhenUsed/>
    <w:qFormat/>
    <w:rPr>
      <w:rFonts w:ascii="楷体_GB2312"/>
      <w:b/>
      <w:bCs/>
      <w:sz w:val="28"/>
    </w:rPr>
  </w:style>
  <w:style w:type="paragraph" w:styleId="1027" w:customStyle="1">
    <w:name w:val="页眉1"/>
    <w:basedOn w:val="809"/>
    <w:unhideWhenUsed/>
    <w:qFormat/>
    <w:pPr>
      <w:jc w:val="center"/>
      <w:tabs>
        <w:tab w:val="center" w:pos="4153" w:leader="none"/>
        <w:tab w:val="right" w:pos="8306" w:leader="none"/>
      </w:tabs>
      <w:pBdr>
        <w:bottom w:val="single" w:color="000000" w:sz="6" w:space="1"/>
      </w:pBdr>
    </w:pPr>
    <w:rPr>
      <w:sz w:val="18"/>
    </w:rPr>
  </w:style>
  <w:style w:type="paragraph" w:styleId="1028" w:customStyle="1">
    <w:name w:val="页脚1"/>
    <w:basedOn w:val="809"/>
    <w:unhideWhenUsed/>
    <w:qFormat/>
    <w:pPr>
      <w:jc w:val="left"/>
      <w:tabs>
        <w:tab w:val="center" w:pos="4153" w:leader="none"/>
        <w:tab w:val="right" w:pos="8306" w:leader="none"/>
      </w:tabs>
    </w:pPr>
    <w:rPr>
      <w:sz w:val="18"/>
    </w:rPr>
  </w:style>
  <w:style w:type="character" w:styleId="1029" w:customStyle="1">
    <w:name w:val="font81"/>
    <w:qFormat/>
    <w:rPr>
      <w:rFonts w:ascii="Times New Roman" w:hAnsi="Times New Roman" w:cs="Times New Roman"/>
      <w:color w:val="000000"/>
      <w:sz w:val="22"/>
      <w:szCs w:val="22"/>
      <w:u w:val="none"/>
    </w:rPr>
  </w:style>
  <w:style w:type="character" w:styleId="1030" w:customStyle="1">
    <w:name w:val="font11"/>
    <w:qFormat/>
    <w:rPr>
      <w:rFonts w:hint="eastAsia" w:ascii="仿宋" w:hAnsi="仿宋" w:eastAsia="仿宋" w:cs="仿宋"/>
      <w:color w:val="000000"/>
      <w:sz w:val="22"/>
      <w:szCs w:val="22"/>
      <w:u w:val="none"/>
    </w:rPr>
  </w:style>
  <w:style w:type="character" w:styleId="1031" w:customStyle="1">
    <w:name w:val="font101"/>
    <w:qFormat/>
    <w:rPr>
      <w:rFonts w:ascii="Arial" w:hAnsi="Arial" w:cs="Arial"/>
      <w:color w:val="000000"/>
      <w:sz w:val="22"/>
      <w:szCs w:val="22"/>
      <w:u w:val="none"/>
    </w:rPr>
  </w:style>
  <w:style w:type="paragraph" w:styleId="1032" w:customStyle="1">
    <w:name w:val="List Paragraph_f0420307-4c65-4cf4-ac34-e8950b7bacb1"/>
    <w:basedOn w:val="809"/>
    <w:qFormat/>
    <w:pPr>
      <w:ind w:firstLine="420"/>
    </w:pPr>
    <w:rPr>
      <w:rFonts w:eastAsia="宋体"/>
      <w:sz w:val="21"/>
      <w:szCs w:val="21"/>
    </w:rPr>
  </w:style>
  <w:style w:type="character" w:styleId="1033" w:customStyle="1">
    <w:name w:val="font51"/>
    <w:basedOn w:val="819"/>
    <w:qFormat/>
    <w:rPr>
      <w:rFonts w:hint="default" w:ascii="Times New Roman" w:hAnsi="Times New Roman" w:cs="Times New Roman"/>
      <w:color w:val="000000"/>
      <w:sz w:val="21"/>
      <w:szCs w:val="21"/>
      <w:u w:val="none"/>
    </w:rPr>
  </w:style>
  <w:style w:type="character" w:styleId="1034" w:customStyle="1">
    <w:name w:val="font31"/>
    <w:basedOn w:val="819"/>
    <w:qFormat/>
    <w:rPr>
      <w:rFonts w:hint="eastAsia" w:ascii="宋体" w:hAnsi="宋体" w:eastAsia="宋体" w:cs="宋体"/>
      <w:color w:val="000000"/>
      <w:sz w:val="21"/>
      <w:szCs w:val="21"/>
      <w:u w:val="none"/>
    </w:rPr>
  </w:style>
  <w:style w:type="character" w:styleId="1035" w:customStyle="1">
    <w:name w:val="font21"/>
    <w:basedOn w:val="819"/>
    <w:qFormat/>
    <w:rPr>
      <w:rFonts w:hint="default" w:ascii="Times New Roman" w:hAnsi="Times New Roman" w:cs="Times New Roman"/>
      <w:color w:val="000000"/>
      <w:sz w:val="21"/>
      <w:szCs w:val="21"/>
      <w:u w:val="none"/>
    </w:rPr>
  </w:style>
  <w:style w:type="character" w:styleId="1036" w:customStyle="1">
    <w:name w:val="font61"/>
    <w:basedOn w:val="819"/>
    <w:qFormat/>
    <w:rPr>
      <w:rFonts w:hint="eastAsia" w:ascii="宋体" w:hAnsi="宋体" w:eastAsia="宋体" w:cs="宋体"/>
      <w:color w:val="000000"/>
      <w:sz w:val="21"/>
      <w:szCs w:val="21"/>
      <w:u w:val="none"/>
    </w:rPr>
  </w:style>
  <w:style w:type="character" w:styleId="1037" w:customStyle="1">
    <w:name w:val="font41"/>
    <w:basedOn w:val="819"/>
    <w:qFormat/>
    <w:rPr>
      <w:rFonts w:hint="default" w:ascii="Times New Roman" w:hAnsi="Times New Roman" w:cs="Times New Roman"/>
      <w:color w:val="000000"/>
      <w:sz w:val="20"/>
      <w:szCs w:val="20"/>
      <w:u w:val="none"/>
    </w:rPr>
  </w:style>
  <w:style w:type="character" w:styleId="1038" w:customStyle="1">
    <w:name w:val="批注框文本 字符"/>
    <w:basedOn w:val="819"/>
    <w:link w:val="835"/>
    <w:uiPriority w:val="99"/>
    <w:semiHidden/>
    <w:qFormat/>
    <w:rPr>
      <w:rFonts w:eastAsia="楷体_GB2312"/>
      <w:sz w:val="18"/>
      <w:szCs w:val="18"/>
    </w:rPr>
  </w:style>
  <w:style w:type="table" w:styleId="1039" w:customStyle="1">
    <w:name w:val="Table Normal"/>
    <w:semiHidden/>
    <w:unhideWhenUsed/>
    <w:qFormat/>
    <w:tblPr>
      <w:tblCellMar>
        <w:left w:w="0" w:type="dxa"/>
        <w:top w:w="0" w:type="dxa"/>
        <w:right w:w="0" w:type="dxa"/>
        <w:bottom w:w="0" w:type="dxa"/>
      </w:tblCellMar>
    </w:tblPr>
  </w:style>
  <w:style w:type="paragraph" w:styleId="1040" w:customStyle="1">
    <w:name w:val="样式 首行缩进:  2 字符"/>
    <w:basedOn w:val="809"/>
    <w:link w:val="1041"/>
    <w:qFormat/>
    <w:pPr>
      <w:ind w:firstLine="480"/>
      <w:spacing w:line="360" w:lineRule="auto"/>
    </w:pPr>
    <w:rPr>
      <w:rFonts w:eastAsia="宋体"/>
      <w:sz w:val="24"/>
    </w:rPr>
  </w:style>
  <w:style w:type="character" w:styleId="1041" w:customStyle="1">
    <w:name w:val="样式 首行缩进:  2 字符 Char Char"/>
    <w:link w:val="1040"/>
    <w:qFormat/>
    <w:rPr>
      <w:sz w:val="24"/>
    </w:rPr>
  </w:style>
  <w:style w:type="character" w:styleId="1042" w:customStyle="1">
    <w:name w:val="批注文字 字符"/>
    <w:basedOn w:val="819"/>
    <w:link w:val="826"/>
    <w:uiPriority w:val="99"/>
    <w:semiHidden/>
    <w:rPr>
      <w:rFonts w:eastAsia="楷体_GB2312"/>
      <w:sz w:val="26"/>
    </w:rPr>
  </w:style>
  <w:style w:type="paragraph" w:styleId="1043" w:customStyle="1">
    <w:name w:val="Normal_17_1"/>
    <w:qFormat/>
    <w:pPr>
      <w:jc w:val="both"/>
      <w:widowControl w:val="off"/>
    </w:pPr>
    <w:rPr>
      <w:rFonts w:ascii="Calibri" w:hAnsi="Calibri"/>
      <w:sz w:val="21"/>
      <w:szCs w:val="22"/>
    </w:rPr>
  </w:style>
  <w:style w:type="paragraph" w:styleId="1044" w:customStyle="1">
    <w:name w:val="Normal_16_1"/>
    <w:qFormat/>
    <w:rPr>
      <w:rFonts w:ascii="宋体" w:hAnsi="宋体"/>
      <w:sz w:val="32"/>
      <w:szCs w:val="24"/>
    </w:rPr>
  </w:style>
  <w:style w:type="paragraph" w:styleId="1045" w:customStyle="1">
    <w:name w:val="正文_9_0_1"/>
    <w:qFormat/>
    <w:pPr>
      <w:jc w:val="both"/>
      <w:widowControl w:val="off"/>
    </w:pPr>
    <w:rPr>
      <w:rFonts w:ascii="Calibri" w:hAnsi="Calibri"/>
      <w:sz w:val="21"/>
      <w:szCs w:val="22"/>
    </w:rPr>
  </w:style>
  <w:style w:type="paragraph" w:styleId="1046" w:customStyle="1">
    <w:name w:val="正文_8_1_1"/>
    <w:qFormat/>
    <w:pPr>
      <w:jc w:val="both"/>
      <w:widowControl w:val="off"/>
    </w:pPr>
    <w:rPr>
      <w:rFonts w:ascii="Calibri" w:hAnsi="Calibri"/>
      <w:sz w:val="21"/>
      <w:szCs w:val="22"/>
    </w:rPr>
  </w:style>
  <w:style w:type="paragraph" w:styleId="1047" w:customStyle="1">
    <w:name w:val="正文_1_0_0_0_0_0"/>
    <w:qFormat/>
    <w:pPr>
      <w:jc w:val="both"/>
      <w:widowControl w:val="off"/>
    </w:pPr>
    <w:rPr>
      <w:sz w:val="21"/>
    </w:rPr>
  </w:style>
  <w:style w:type="paragraph" w:styleId="1048" w:customStyle="1">
    <w:name w:val="列出段落_2"/>
    <w:basedOn w:val="1046"/>
    <w:uiPriority w:val="34"/>
    <w:qFormat/>
    <w:pPr>
      <w:ind w:firstLine="420"/>
    </w:pPr>
  </w:style>
  <w:style w:type="paragraph" w:styleId="1049" w:customStyle="1">
    <w:name w:val="Other|1"/>
    <w:basedOn w:val="809"/>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77</cp:revision>
  <dcterms:created xsi:type="dcterms:W3CDTF">2024-11-12T10:22:00Z</dcterms:created>
  <dcterms:modified xsi:type="dcterms:W3CDTF">2025-12-17T04:29:06Z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7033B05C256F43C29A7C94C5A5B8F603_13</vt:lpwstr>
  </property>
  <property fmtid="{D5CDD505-2E9C-101B-9397-08002B2CF9AE}" pid="4" name="KSOTemplateDocerSaveRecord">
    <vt:lpwstr>eyJoZGlkIjoiY2RkZGFkMGM0NGE3NDg5NGU5ZjBhYzljYmY4MTZmODMiLCJ1c2VySWQiOiIyMjcyMDk2MDYifQ==</vt:lpwstr>
  </property>
</Properties>
</file>